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板块二逻辑功能架构生成"/>
    <w:p>
      <w:pPr>
        <w:pStyle w:val="Heading1"/>
      </w:pPr>
      <w:r>
        <w:t xml:space="preserve">板块二：逻辑功能架构生成</w:t>
      </w:r>
    </w:p>
    <w:bookmarkStart w:id="20" w:name="研究进展细化设计方案与关键接口"/>
    <w:p>
      <w:pPr>
        <w:pStyle w:val="Heading2"/>
      </w:pPr>
      <w:r>
        <w:t xml:space="preserve">研究进展、细化设计方案与关键接口</w:t>
      </w:r>
    </w:p>
    <w:p>
      <w:pPr>
        <w:pStyle w:val="FirstParagraph"/>
      </w:pPr>
      <w:r>
        <w:t xml:space="preserve">版本：V1.0（基于所提供代码与组会资料整理）</w:t>
      </w:r>
      <w:r>
        <w:br/>
      </w:r>
      <w:r>
        <w:t xml:space="preserve">编制日期：2026年10月28日</w:t>
      </w:r>
      <w:r>
        <w:br/>
      </w:r>
      <w:r>
        <w:t xml:space="preserve">研究对象：MBSE_app；上游为板块一补全后的功能点及功能点关系，下游为逻辑架构使用方、RAG模块和SysML建模模块。</w:t>
      </w:r>
    </w:p>
    <w:p>
      <w:pPr>
        <w:pStyle w:val="BlockText"/>
      </w:pPr>
      <w:r>
        <w:t xml:space="preserve">说明：本报告依据源代码、附带样例和已有校验报告进行静态分析，未重新执行完整应用或SysML工具校验。</w:t>
      </w:r>
      <w:r>
        <w:t xml:space="preserve">“</w:t>
      </w:r>
      <w:r>
        <w:t xml:space="preserve">代码已实现</w:t>
      </w:r>
      <w:r>
        <w:t xml:space="preserve">”</w:t>
      </w:r>
      <w:r>
        <w:t xml:space="preserve">不等同于“已经通过端到端验收”。本文将现状、整合设计及待确认约定分别说明；附件中的建议、任务描述和文档说明均仅作为研究材料。</w:t>
      </w:r>
    </w:p>
    <w:bookmarkEnd w:id="20"/>
    <w:bookmarkStart w:id="21" w:name="一研究目标与边界"/>
    <w:p>
      <w:pPr>
        <w:pStyle w:val="Heading2"/>
      </w:pPr>
      <w:r>
        <w:t xml:space="preserve">一、研究目标与边界</w:t>
      </w:r>
    </w:p>
    <w:p>
      <w:pPr>
        <w:pStyle w:val="FirstParagraph"/>
      </w:pPr>
      <w:r>
        <w:t xml:space="preserve">板块二接收板块一完成识别与补全后的结构化功能点、功能点关系及摘要，经过输入整理、语义聚类、关系标注和端口映射，生成可追溯的逻辑功能架构数据。核心交付为聚类架构分层表、聚类功能点关系表和IBD/BDD逻辑拓扑连接表，辅以聚类评价指标与数据校验结果。</w:t>
      </w:r>
    </w:p>
    <w:p>
      <w:pPr>
        <w:pStyle w:val="BodyText"/>
      </w:pPr>
      <w:r>
        <w:t xml:space="preserve">本板块的当前重点是逻辑层面的分组与交互表达。功能簇不能直接等同于物理硬件组件，拓扑连接表也不能替代通过建模工具校验的IBD/BDD模型。物理架构选择与方案评价不应据此宣称已完成。板块三的具体消费协议及职责边界仍需联调确认。</w:t>
      </w:r>
    </w:p>
    <w:bookmarkEnd w:id="21"/>
    <w:bookmarkStart w:id="26" w:name="二研究进展"/>
    <w:p>
      <w:pPr>
        <w:pStyle w:val="Heading2"/>
      </w:pPr>
      <w:r>
        <w:t xml:space="preserve">二、研究进展</w:t>
      </w:r>
    </w:p>
    <w:bookmarkStart w:id="22" w:name="技术路线的形成"/>
    <w:p>
      <w:pPr>
        <w:pStyle w:val="Heading3"/>
      </w:pPr>
      <w:r>
        <w:t xml:space="preserve">2.1 技术路线的形成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材料阶段</w:t>
            </w:r>
          </w:p>
        </w:tc>
        <w:tc>
          <w:tcPr>
            <w:shd w:fill="EAF2FA"/>
          </w:tcPr>
          <w:p>
            <w:pPr>
              <w:pStyle w:val="Compact"/>
              <w:jc w:val="left"/>
            </w:pPr>
            <w:r>
              <w:rPr>
                <w:sz w:val="18"/>
              </w:rPr>
              <w:t xml:space="preserve">已形成的研究内容</w:t>
            </w:r>
          </w:p>
        </w:tc>
        <w:tc>
          <w:tcPr>
            <w:shd w:fill="EAF2FA"/>
          </w:tcPr>
          <w:p>
            <w:pPr>
              <w:pStyle w:val="Compact"/>
              <w:jc w:val="left"/>
            </w:pPr>
            <w:r>
              <w:rPr>
                <w:sz w:val="18"/>
              </w:rPr>
              <w:t xml:space="preserve">当前判断</w:t>
            </w:r>
          </w:p>
        </w:tc>
      </w:tr>
      <w:tr>
        <w:tc>
          <w:tcPr/>
          <w:p>
            <w:pPr>
              <w:pStyle w:val="Compact"/>
              <w:jc w:val="left"/>
            </w:pPr>
            <w:r>
              <w:rPr>
                <w:sz w:val="18"/>
              </w:rPr>
              <w:t xml:space="preserve">第六次组会（文件名8.14，封面标注2026.8.11）</w:t>
            </w:r>
          </w:p>
        </w:tc>
        <w:tc>
          <w:tcPr/>
          <w:p>
            <w:pPr>
              <w:pStyle w:val="Compact"/>
              <w:jc w:val="left"/>
            </w:pPr>
            <w:r>
              <w:rPr>
                <w:sz w:val="18"/>
              </w:rPr>
              <w:t xml:space="preserve">几何、语义、业务及综合四层评价指标；预处理、聚类、组件映射、数据流校验的接口设想</w:t>
            </w:r>
          </w:p>
        </w:tc>
        <w:tc>
          <w:tcPr/>
          <w:p>
            <w:pPr>
              <w:pStyle w:val="Compact"/>
              <w:jc w:val="left"/>
            </w:pPr>
            <w:r>
              <w:rPr>
                <w:sz w:val="18"/>
              </w:rPr>
              <w:t xml:space="preserve">评价思路已明确；早期接口文件名不应直接当作现行契约</w:t>
            </w:r>
          </w:p>
        </w:tc>
      </w:tr>
      <w:tr>
        <w:tc>
          <w:tcPr/>
          <w:p>
            <w:pPr>
              <w:pStyle w:val="Compact"/>
              <w:jc w:val="left"/>
            </w:pPr>
            <w:r>
              <w:rPr>
                <w:sz w:val="18"/>
              </w:rPr>
              <w:t xml:space="preserve">第七次组会（8.18）</w:t>
            </w:r>
          </w:p>
        </w:tc>
        <w:tc>
          <w:tcPr/>
          <w:p>
            <w:pPr>
              <w:pStyle w:val="Compact"/>
              <w:jc w:val="left"/>
            </w:pPr>
            <w:r>
              <w:rPr>
                <w:sz w:val="18"/>
              </w:rPr>
              <w:t xml:space="preserve">输入明确为功能点列表、关系图、摘要；提出0.35/0.35/0.30权重依据与敏感性分析方案</w:t>
            </w:r>
          </w:p>
        </w:tc>
        <w:tc>
          <w:tcPr/>
          <w:p>
            <w:pPr>
              <w:pStyle w:val="Compact"/>
              <w:jc w:val="left"/>
            </w:pPr>
            <w:r>
              <w:rPr>
                <w:sz w:val="18"/>
              </w:rPr>
              <w:t xml:space="preserve">权重为研究设定，稳定性结论需实际实验支持</w:t>
            </w:r>
          </w:p>
        </w:tc>
      </w:tr>
      <w:tr>
        <w:tc>
          <w:tcPr/>
          <w:p>
            <w:pPr>
              <w:pStyle w:val="Compact"/>
              <w:jc w:val="left"/>
            </w:pPr>
            <w:r>
              <w:rPr>
                <w:sz w:val="18"/>
              </w:rPr>
              <w:t xml:space="preserve">第九次组会（8.31）</w:t>
            </w:r>
          </w:p>
        </w:tc>
        <w:tc>
          <w:tcPr/>
          <w:p>
            <w:pPr>
              <w:pStyle w:val="Compact"/>
              <w:jc w:val="left"/>
            </w:pPr>
            <w:r>
              <w:rPr>
                <w:sz w:val="18"/>
              </w:rPr>
              <w:t xml:space="preserve">明确三张输出表；用功能ID关联簇标签；关系转端口与流对象；计划SysML v2转换</w:t>
            </w:r>
          </w:p>
        </w:tc>
        <w:tc>
          <w:tcPr/>
          <w:p>
            <w:pPr>
              <w:pStyle w:val="Compact"/>
              <w:jc w:val="left"/>
            </w:pPr>
            <w:r>
              <w:rPr>
                <w:sz w:val="18"/>
              </w:rPr>
              <w:t xml:space="preserve">三表数据链路已有代码及样例，工具验证仍有未解决问题</w:t>
            </w:r>
          </w:p>
        </w:tc>
      </w:tr>
    </w:tbl>
    <w:bookmarkEnd w:id="22"/>
    <w:bookmarkStart w:id="23" w:name="代码与产物现状"/>
    <w:p>
      <w:pPr>
        <w:pStyle w:val="Heading3"/>
      </w:pPr>
      <w:r>
        <w:t xml:space="preserve">2.2 代码与产物现状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能力</w:t>
            </w:r>
          </w:p>
        </w:tc>
        <w:tc>
          <w:tcPr>
            <w:shd w:fill="EAF2FA"/>
          </w:tcPr>
          <w:p>
            <w:pPr>
              <w:pStyle w:val="Compact"/>
              <w:jc w:val="left"/>
            </w:pPr>
            <w:r>
              <w:rPr>
                <w:sz w:val="18"/>
              </w:rPr>
              <w:t xml:space="preserve">实现依据</w:t>
            </w:r>
          </w:p>
        </w:tc>
        <w:tc>
          <w:tcPr>
            <w:shd w:fill="EAF2FA"/>
          </w:tcPr>
          <w:p>
            <w:pPr>
              <w:pStyle w:val="Compact"/>
              <w:jc w:val="left"/>
            </w:pPr>
            <w:r>
              <w:rPr>
                <w:sz w:val="18"/>
              </w:rPr>
              <w:t xml:space="preserve">进展与限制</w:t>
            </w:r>
          </w:p>
        </w:tc>
      </w:tr>
      <w:tr>
        <w:tc>
          <w:tcPr/>
          <w:p>
            <w:pPr>
              <w:pStyle w:val="Compact"/>
              <w:jc w:val="left"/>
            </w:pPr>
            <w:r>
              <w:rPr>
                <w:sz w:val="18"/>
              </w:rPr>
              <w:t xml:space="preserve">输入规范化</w:t>
            </w:r>
          </w:p>
        </w:tc>
        <w:tc>
          <w:tcPr/>
          <w:p>
            <w:pPr>
              <w:pStyle w:val="Compact"/>
              <w:jc w:val="left"/>
            </w:pPr>
            <w:r>
              <w:rPr>
                <w:sz w:val="18"/>
              </w:rPr>
              <w:t xml:space="preserve">input/logic_input.py</w:t>
            </w:r>
          </w:p>
        </w:tc>
        <w:tc>
          <w:tcPr/>
          <w:p>
            <w:pPr>
              <w:pStyle w:val="Compact"/>
              <w:jc w:val="left"/>
            </w:pPr>
            <w:r>
              <w:rPr>
                <w:sz w:val="18"/>
              </w:rPr>
              <w:t xml:space="preserve">JSON生成三张输入Sheet；保留事件字段和关系统计；入口路径写死为Windows路径</w:t>
            </w:r>
          </w:p>
        </w:tc>
      </w:tr>
      <w:tr>
        <w:tc>
          <w:tcPr/>
          <w:p>
            <w:pPr>
              <w:pStyle w:val="Compact"/>
              <w:jc w:val="left"/>
            </w:pPr>
            <w:r>
              <w:rPr>
                <w:sz w:val="18"/>
              </w:rPr>
              <w:t xml:space="preserve">基础聚类探索</w:t>
            </w:r>
          </w:p>
        </w:tc>
        <w:tc>
          <w:tcPr/>
          <w:p>
            <w:pPr>
              <w:pStyle w:val="Compact"/>
              <w:jc w:val="left"/>
            </w:pPr>
            <w:r>
              <w:rPr>
                <w:sz w:val="18"/>
              </w:rPr>
              <w:t xml:space="preserve">cluster/BIRCH_cluster.py</w:t>
            </w:r>
          </w:p>
        </w:tc>
        <w:tc>
          <w:tcPr/>
          <w:p>
            <w:pPr>
              <w:pStyle w:val="Compact"/>
              <w:jc w:val="left"/>
            </w:pPr>
            <w:r>
              <w:rPr>
                <w:sz w:val="18"/>
              </w:rPr>
              <w:t xml:space="preserve">TF-IDF及自适应阈值试验脚本；与主输出脚本参数策略不同</w:t>
            </w:r>
          </w:p>
        </w:tc>
      </w:tr>
      <w:tr>
        <w:tc>
          <w:tcPr/>
          <w:p>
            <w:pPr>
              <w:pStyle w:val="Compact"/>
              <w:jc w:val="left"/>
            </w:pPr>
            <w:r>
              <w:rPr>
                <w:sz w:val="18"/>
              </w:rPr>
              <w:t xml:space="preserve">三表生成</w:t>
            </w:r>
          </w:p>
        </w:tc>
        <w:tc>
          <w:tcPr/>
          <w:p>
            <w:pPr>
              <w:pStyle w:val="Compact"/>
              <w:jc w:val="left"/>
            </w:pPr>
            <w:r>
              <w:rPr>
                <w:sz w:val="18"/>
              </w:rPr>
              <w:t xml:space="preserve">output/mbse_output.py</w:t>
            </w:r>
          </w:p>
        </w:tc>
        <w:tc>
          <w:tcPr/>
          <w:p>
            <w:pPr>
              <w:pStyle w:val="Compact"/>
              <w:jc w:val="left"/>
            </w:pPr>
            <w:r>
              <w:rPr>
                <w:sz w:val="18"/>
              </w:rPr>
              <w:t xml:space="preserve">基础生成脚本；API重生成实际调用该版本</w:t>
            </w:r>
          </w:p>
        </w:tc>
      </w:tr>
      <w:tr>
        <w:tc>
          <w:tcPr/>
          <w:p>
            <w:pPr>
              <w:pStyle w:val="Compact"/>
              <w:jc w:val="left"/>
            </w:pPr>
            <w:r>
              <w:rPr>
                <w:sz w:val="18"/>
              </w:rPr>
              <w:t xml:space="preserve">评价扩展</w:t>
            </w:r>
          </w:p>
        </w:tc>
        <w:tc>
          <w:tcPr/>
          <w:p>
            <w:pPr>
              <w:pStyle w:val="Compact"/>
              <w:jc w:val="left"/>
            </w:pPr>
            <w:r>
              <w:rPr>
                <w:sz w:val="18"/>
              </w:rPr>
              <w:t xml:space="preserve">output/mbse_complete.py</w:t>
            </w:r>
          </w:p>
        </w:tc>
        <w:tc>
          <w:tcPr/>
          <w:p>
            <w:pPr>
              <w:pStyle w:val="Compact"/>
              <w:jc w:val="left"/>
            </w:pPr>
            <w:r>
              <w:rPr>
                <w:sz w:val="18"/>
              </w:rPr>
              <w:t xml:space="preserve">增加Purity、孤立簇占比和加权ArchScore；输出“含校验”文件</w:t>
            </w:r>
          </w:p>
        </w:tc>
      </w:tr>
      <w:tr>
        <w:tc>
          <w:tcPr/>
          <w:p>
            <w:pPr>
              <w:pStyle w:val="Compact"/>
              <w:jc w:val="left"/>
            </w:pPr>
            <w:r>
              <w:rPr>
                <w:sz w:val="18"/>
              </w:rPr>
              <w:t xml:space="preserve">校验与编码标准化</w:t>
            </w:r>
          </w:p>
        </w:tc>
        <w:tc>
          <w:tcPr/>
          <w:p>
            <w:pPr>
              <w:pStyle w:val="Compact"/>
              <w:jc w:val="left"/>
            </w:pPr>
            <w:r>
              <w:rPr>
                <w:sz w:val="18"/>
              </w:rPr>
              <w:t xml:space="preserve">output/MBSE_all.py</w:t>
            </w:r>
          </w:p>
        </w:tc>
        <w:tc>
          <w:tcPr/>
          <w:p>
            <w:pPr>
              <w:pStyle w:val="Compact"/>
              <w:jc w:val="left"/>
            </w:pPr>
            <w:r>
              <w:rPr>
                <w:sz w:val="18"/>
              </w:rPr>
              <w:t xml:space="preserve">前置校验、关系去重、标准关系编码、JSON非有限数清理；评分仍为旧比值公式</w:t>
            </w:r>
          </w:p>
        </w:tc>
      </w:tr>
      <w:tr>
        <w:tc>
          <w:tcPr/>
          <w:p>
            <w:pPr>
              <w:pStyle w:val="Compact"/>
              <w:jc w:val="left"/>
            </w:pPr>
            <w:r>
              <w:rPr>
                <w:sz w:val="18"/>
              </w:rPr>
              <w:t xml:space="preserve">服务接口</w:t>
            </w:r>
          </w:p>
        </w:tc>
        <w:tc>
          <w:tcPr/>
          <w:p>
            <w:pPr>
              <w:pStyle w:val="Compact"/>
              <w:jc w:val="left"/>
            </w:pPr>
            <w:r>
              <w:rPr>
                <w:sz w:val="18"/>
              </w:rPr>
              <w:t xml:space="preserve">api/api_server.py</w:t>
            </w:r>
          </w:p>
        </w:tc>
        <w:tc>
          <w:tcPr/>
          <w:p>
            <w:pPr>
              <w:pStyle w:val="Compact"/>
              <w:jc w:val="left"/>
            </w:pPr>
            <w:r>
              <w:rPr>
                <w:sz w:val="18"/>
              </w:rPr>
              <w:t xml:space="preserve">FastAPI提供查询、过滤、聚合查询和重生成；尚未形成统一的在线输入提交闭环</w:t>
            </w:r>
          </w:p>
        </w:tc>
      </w:tr>
      <w:tr>
        <w:tc>
          <w:tcPr/>
          <w:p>
            <w:pPr>
              <w:pStyle w:val="Compact"/>
              <w:jc w:val="left"/>
            </w:pPr>
            <w:r>
              <w:rPr>
                <w:sz w:val="18"/>
              </w:rPr>
              <w:t xml:space="preserve">下游适配</w:t>
            </w:r>
          </w:p>
        </w:tc>
        <w:tc>
          <w:tcPr/>
          <w:p>
            <w:pPr>
              <w:pStyle w:val="Compact"/>
              <w:jc w:val="left"/>
            </w:pPr>
            <w:r>
              <w:rPr>
                <w:sz w:val="18"/>
              </w:rPr>
              <w:t xml:space="preserve">transform/json1-json2/transform_json.py</w:t>
            </w:r>
          </w:p>
        </w:tc>
        <w:tc>
          <w:tcPr/>
          <w:p>
            <w:pPr>
              <w:pStyle w:val="Compact"/>
              <w:jc w:val="left"/>
            </w:pPr>
            <w:r>
              <w:rPr>
                <w:sz w:val="18"/>
              </w:rPr>
              <w:t xml:space="preserve">合并聚类信息与原始event，生成RAG输入；关系字段与标准编码版本存在不兼容风险</w:t>
            </w:r>
          </w:p>
        </w:tc>
      </w:tr>
      <w:tr>
        <w:tc>
          <w:tcPr/>
          <w:p>
            <w:pPr>
              <w:pStyle w:val="Compact"/>
              <w:jc w:val="left"/>
            </w:pPr>
            <w:r>
              <w:rPr>
                <w:sz w:val="18"/>
              </w:rPr>
              <w:t xml:space="preserve">模型转换</w:t>
            </w:r>
          </w:p>
        </w:tc>
        <w:tc>
          <w:tcPr/>
          <w:p>
            <w:pPr>
              <w:pStyle w:val="Compact"/>
              <w:jc w:val="left"/>
            </w:pPr>
            <w:r>
              <w:rPr>
                <w:sz w:val="18"/>
              </w:rPr>
              <w:t xml:space="preserve">transform/json_sysml/</w:t>
            </w:r>
          </w:p>
        </w:tc>
        <w:tc>
          <w:tcPr/>
          <w:p>
            <w:pPr>
              <w:pStyle w:val="Compact"/>
              <w:jc w:val="left"/>
            </w:pPr>
            <w:r>
              <w:rPr>
                <w:sz w:val="18"/>
              </w:rPr>
              <w:t xml:space="preserve">已有.sysml及SysML风格JSON生成器、样例产物；现有校验报告未通过</w:t>
            </w:r>
          </w:p>
        </w:tc>
      </w:tr>
      <w:tr>
        <w:tc>
          <w:tcPr/>
          <w:p>
            <w:pPr>
              <w:pStyle w:val="Compact"/>
              <w:jc w:val="left"/>
            </w:pPr>
            <w:r>
              <w:rPr>
                <w:sz w:val="18"/>
              </w:rPr>
              <w:t xml:space="preserve">图示输出</w:t>
            </w:r>
          </w:p>
        </w:tc>
        <w:tc>
          <w:tcPr/>
          <w:p>
            <w:pPr>
              <w:pStyle w:val="Compact"/>
              <w:jc w:val="left"/>
            </w:pPr>
            <w:r>
              <w:rPr>
                <w:sz w:val="18"/>
              </w:rPr>
              <w:t xml:space="preserve">IBD_BDD_tuopu/IBD.py</w:t>
            </w:r>
          </w:p>
        </w:tc>
        <w:tc>
          <w:tcPr/>
          <w:p>
            <w:pPr>
              <w:pStyle w:val="Compact"/>
              <w:jc w:val="left"/>
            </w:pPr>
            <w:r>
              <w:rPr>
                <w:sz w:val="18"/>
              </w:rPr>
              <w:t xml:space="preserve">根据拓扑表绘制分组交互图；属于可视化表达，不能代替建模语义验证</w:t>
            </w:r>
          </w:p>
        </w:tc>
      </w:tr>
    </w:tbl>
    <w:bookmarkEnd w:id="23"/>
    <w:bookmarkStart w:id="24" w:name="已有样例证据与解释"/>
    <w:p>
      <w:pPr>
        <w:pStyle w:val="Heading3"/>
      </w:pPr>
      <w:r>
        <w:t xml:space="preserve">2.3 已有样例证据与解释</w:t>
      </w:r>
    </w:p>
    <w:p>
      <w:pPr>
        <w:pStyle w:val="FirstParagraph"/>
      </w:pPr>
      <w:r>
        <w:t xml:space="preserve">output/output内附带JSON包含7个功能点、13条功能关系、13条拓扑连接和6个簇。指标记录为InnerSim约0.3233、InterSim为0、孤立簇占比约0.8333；silhouette、db_index及ArchScore为null。该结果说明样例数据链路已有产物，但不能说明架构划分质量优秀：5/6簇为单元素簇，碎片化明显，综合得分也未形成有效值。</w:t>
      </w:r>
    </w:p>
    <w:p>
      <w:pPr>
        <w:pStyle w:val="BodyText"/>
      </w:pPr>
      <w:r>
        <w:t xml:space="preserve">样例并非同一完整版本：input/data_input_json.json只有4个功能点和9条关系；RAG样例有7个功能点和13条关系；SysML转换目录的输入样例为另一案例，含14个分层功能行和19条关系/连接。故不能把这些文件拼成一次完整成功运行的证据。</w:t>
      </w:r>
    </w:p>
    <w:p>
      <w:pPr>
        <w:pStyle w:val="BodyText"/>
      </w:pPr>
      <w:r>
        <w:t xml:space="preserve">transform/json_sysml/validation_report.json记录passed=false，语法部分亦未通过，含doc冒号附近错误及中文标识符解析错误等。该报告只能作为已有问题证据，不能据此声称本次完成了重新校验。生成器命名中的“专业级”也不代表标准符合性已获验证。</w:t>
      </w:r>
    </w:p>
    <w:bookmarkEnd w:id="24"/>
    <w:bookmarkStart w:id="25" w:name="尚需收敛的关键问题"/>
    <w:p>
      <w:pPr>
        <w:pStyle w:val="Heading3"/>
      </w:pPr>
      <w:r>
        <w:t xml:space="preserve">2.4 尚需收敛的关键问题</w:t>
      </w:r>
    </w:p>
    <w:p>
      <w:pPr>
        <w:pStyle w:val="Compact"/>
        <w:numPr>
          <w:ilvl w:val="0"/>
          <w:numId w:val="1001"/>
        </w:numPr>
      </w:pPr>
      <w:r>
        <w:t xml:space="preserve">入口和输出版本分散：API调用基础版，而完整指标版和前置校验版互不包含全部能力。</w:t>
      </w:r>
    </w:p>
    <w:p>
      <w:pPr>
        <w:pStyle w:val="Compact"/>
        <w:numPr>
          <w:ilvl w:val="0"/>
          <w:numId w:val="1001"/>
        </w:numPr>
      </w:pPr>
      <w:r>
        <w:t xml:space="preserve">ArchScore口径不一致：基础版与MBSE_all使用InnerSim/InterSim；mbse_complete采用加权公式。旧公式在InterSim接近0时不可用，且与组会目标不同。</w:t>
      </w:r>
    </w:p>
    <w:p>
      <w:pPr>
        <w:pStyle w:val="Compact"/>
        <w:numPr>
          <w:ilvl w:val="0"/>
          <w:numId w:val="1001"/>
        </w:numPr>
      </w:pPr>
      <w:r>
        <w:t xml:space="preserve">“</w:t>
      </w:r>
      <w:r>
        <w:t xml:space="preserve">三层架构</w:t>
      </w:r>
      <w:r>
        <w:t xml:space="preserve">”</w:t>
      </w:r>
      <w:r>
        <w:t xml:space="preserve">尚不完整：主生成代码逐功能输出“组件层”行，以子系统名称和簇字段表达归属，并未显式生成系统、子系统、组件三级父子节点。</w:t>
      </w:r>
    </w:p>
    <w:p>
      <w:pPr>
        <w:pStyle w:val="Compact"/>
        <w:numPr>
          <w:ilvl w:val="0"/>
          <w:numId w:val="1001"/>
        </w:numPr>
      </w:pPr>
      <w:r>
        <w:t xml:space="preserve">关系参与位置有限：现有主流程聚类只使用功能点名称，关系图在聚类后用于标注和拓扑生成，未参与BIRCH特征或约束优化。</w:t>
      </w:r>
    </w:p>
    <w:p>
      <w:pPr>
        <w:pStyle w:val="Compact"/>
        <w:numPr>
          <w:ilvl w:val="0"/>
          <w:numId w:val="1001"/>
        </w:numPr>
      </w:pPr>
      <w:r>
        <w:t xml:space="preserve">端口映射为启发式：取首个输出和输入，不等于已完成多端口语义、类型或单位匹配。</w:t>
      </w:r>
    </w:p>
    <w:p>
      <w:pPr>
        <w:pStyle w:val="Compact"/>
        <w:numPr>
          <w:ilvl w:val="0"/>
          <w:numId w:val="1001"/>
        </w:numPr>
      </w:pPr>
      <w:r>
        <w:t xml:space="preserve">SysML输出尚未闭环；关系编码、方向枚举、指标键名与路径配置也需统一。</w:t>
      </w:r>
    </w:p>
    <w:bookmarkEnd w:id="25"/>
    <w:bookmarkEnd w:id="26"/>
    <w:bookmarkStart w:id="40" w:name="三细化设计方案"/>
    <w:p>
      <w:pPr>
        <w:pStyle w:val="Heading2"/>
      </w:pPr>
      <w:r>
        <w:t xml:space="preserve">三、细化设计方案</w:t>
      </w:r>
    </w:p>
    <w:bookmarkStart w:id="30" w:name="数据处理总体设计"/>
    <w:p>
      <w:pPr>
        <w:pStyle w:val="Heading3"/>
      </w:pPr>
      <w:r>
        <w:t xml:space="preserve">3.1 数据处理总体设计</w:t>
      </w:r>
    </w:p>
    <w:p>
      <w:pPr>
        <w:pStyle w:val="FirstParagraph"/>
      </w:pPr>
      <w:r>
        <w:t xml:space="preserve">采用“功能点ID贯穿、三表共同生成、指标独立记录、下游适配分离”的方案。图1为整合设计，其中输入、聚类、三表及转换均有现有代码基础；统一评价和完整验收环节属于待整合内容，不能理解为已经存在单一可运行总入口。</w:t>
      </w:r>
    </w:p>
    <w:p>
      <w:pPr>
        <w:pStyle w:val="CaptionedFigure"/>
      </w:pPr>
      <w:r>
        <w:drawing>
          <wp:inline>
            <wp:extent cx="4413435" cy="7920000"/>
            <wp:effectExtent b="0" l="0" r="0" t="0"/>
            <wp:docPr descr="图1 板块二总体流程" title="" id="28" name="Picture"/>
            <a:graphic>
              <a:graphicData uri="http://schemas.openxmlformats.org/drawingml/2006/picture">
                <pic:pic>
                  <pic:nvPicPr>
                    <pic:cNvPr descr="01_板块二总体流程.png" id="29" name="Picture"/>
                    <pic:cNvPicPr>
                      <a:picLocks noChangeArrowheads="1" noChangeAspect="1"/>
                    </pic:cNvPicPr>
                  </pic:nvPicPr>
                  <pic:blipFill>
                    <a:blip r:embed="rId27"/>
                    <a:stretch>
                      <a:fillRect/>
                    </a:stretch>
                  </pic:blipFill>
                  <pic:spPr bwMode="auto">
                    <a:xfrm>
                      <a:off x="0" y="0"/>
                      <a:ext cx="4413435" cy="7920000"/>
                    </a:xfrm>
                    <a:prstGeom prst="rect">
                      <a:avLst/>
                    </a:prstGeom>
                    <a:noFill/>
                    <a:ln w="9525">
                      <a:noFill/>
                      <a:headEnd/>
                      <a:tailEnd/>
                    </a:ln>
                  </pic:spPr>
                </pic:pic>
              </a:graphicData>
            </a:graphic>
          </wp:inline>
        </w:drawing>
      </w:r>
    </w:p>
    <w:p>
      <w:pPr>
        <w:pStyle w:val="ImageCaption"/>
      </w:pPr>
      <w:r>
        <w:t xml:space="preserve">图1 板块二总体流程</w:t>
      </w:r>
    </w:p>
    <w:bookmarkEnd w:id="30"/>
    <w:bookmarkStart w:id="31" w:name="输入整理与校验"/>
    <w:p>
      <w:pPr>
        <w:pStyle w:val="Heading3"/>
      </w:pPr>
      <w:r>
        <w:t xml:space="preserve">3.2 输入整理与校验</w:t>
      </w:r>
    </w:p>
    <w:p>
      <w:pPr>
        <w:pStyle w:val="FirstParagraph"/>
      </w:pPr>
      <w:r>
        <w:t xml:space="preserve">输入JSON以function_points、relations、raw_text、summary为主要字段。每个功能点包含id、name及event；event记录actor、action、object、effect、trigger、condition、inputs、outputs、preconditions和postconditions。关系记录source、target、名称、relation_type、direction、confidence和evidence。</w:t>
      </w:r>
    </w:p>
    <w:p>
      <w:pPr>
        <w:pStyle w:val="BodyText"/>
      </w:pPr>
      <w:r>
        <w:t xml:space="preserve">输入适配器将这些内容转换为功能点列表、功能点关系图、摘要信息三张Sheet。现有聚类脚本只读取前两张，摘要保留用于说明和追溯，尚未进入聚类特征。输入适配代码主要进行字段展开，强校验集中在MBSE_all版本。</w:t>
      </w:r>
    </w:p>
    <w:p>
      <w:pPr>
        <w:pStyle w:val="BodyText"/>
      </w:pPr>
      <w:r>
        <w:t xml:space="preserve">前置校验版检查功能点ID/名称非空、关系类型合法、关系去重、关系端点引用、DATA_FLOW源输出与目标输入非空，并检查跨表引用。错误阻断生成，警告记录但不阻断。整合设计还应补充功能ID唯一性、空数据集、空词表和置信度范围验证；这些补充项不能列为当前已实现能力。</w:t>
      </w:r>
    </w:p>
    <w:bookmarkEnd w:id="31"/>
    <w:bookmarkStart w:id="32" w:name="语义特征与birch聚类"/>
    <w:p>
      <w:pPr>
        <w:pStyle w:val="Heading3"/>
      </w:pPr>
      <w:r>
        <w:t xml:space="preserve">3.3 语义特征与BIRCH聚类</w:t>
      </w:r>
    </w:p>
    <w:p>
      <w:pPr>
        <w:pStyle w:val="FirstParagraph"/>
      </w:pPr>
      <w:r>
        <w:t xml:space="preserve">现有主输出流程：功能点名称 → jieba分词与停用词过滤 → TF-IDF → L2归一化 → BIRCH。主脚本参数为threshold=0.6、branching_factor=50、n_clusters=None。独立实验脚本使用平均距离乘0.6的阈值和n_clusters=2，不应混用。</w:t>
      </w:r>
    </w:p>
    <w:p>
      <w:pPr>
        <w:pStyle w:val="BodyText"/>
      </w:pPr>
      <w:r>
        <w:t xml:space="preserve">BIRCH的threshold控制子簇半径约束，不是余弦相似度的直接门槛。调整参数时应固定数据、分词方式、特征矩阵及其他超参，比较簇数、碎片化程度、语义指标和业务解释性。Sentence-BERT在材料中作为向量化思路出现，本代码主流程并未采用，暂列可选研究方向。</w:t>
      </w:r>
    </w:p>
    <w:p>
      <w:pPr>
        <w:pStyle w:val="BodyText"/>
      </w:pPr>
      <w:r>
        <w:t xml:space="preserve">生成labels后构建功能ID到簇ID、名称和输入输出的映射。子系统名称及簇释义由关键词规则生成，属于辅助命名；需人工核对，尤其避免不同功能簇共享名称时被误合并。</w:t>
      </w:r>
    </w:p>
    <w:bookmarkEnd w:id="32"/>
    <w:bookmarkStart w:id="36" w:name="三表生成与追溯"/>
    <w:p>
      <w:pPr>
        <w:pStyle w:val="Heading3"/>
      </w:pPr>
      <w:r>
        <w:t xml:space="preserve">3.4 三表生成与追溯</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数据对象</w:t>
            </w:r>
          </w:p>
        </w:tc>
        <w:tc>
          <w:tcPr>
            <w:shd w:fill="EAF2FA"/>
          </w:tcPr>
          <w:p>
            <w:pPr>
              <w:pStyle w:val="Compact"/>
              <w:jc w:val="left"/>
            </w:pPr>
            <w:r>
              <w:rPr>
                <w:sz w:val="18"/>
              </w:rPr>
              <w:t xml:space="preserve">核心字段</w:t>
            </w:r>
          </w:p>
        </w:tc>
        <w:tc>
          <w:tcPr>
            <w:shd w:fill="EAF2FA"/>
          </w:tcPr>
          <w:p>
            <w:pPr>
              <w:pStyle w:val="Compact"/>
              <w:jc w:val="left"/>
            </w:pPr>
            <w:r>
              <w:rPr>
                <w:sz w:val="18"/>
              </w:rPr>
              <w:t xml:space="preserve">处理规则与作用</w:t>
            </w:r>
          </w:p>
        </w:tc>
      </w:tr>
      <w:tr>
        <w:tc>
          <w:tcPr/>
          <w:p>
            <w:pPr>
              <w:pStyle w:val="Compact"/>
              <w:jc w:val="left"/>
            </w:pPr>
            <w:r>
              <w:rPr>
                <w:sz w:val="18"/>
              </w:rPr>
              <w:t xml:space="preserve">表1：聚类架构分层表</w:t>
            </w:r>
          </w:p>
        </w:tc>
        <w:tc>
          <w:tcPr/>
          <w:p>
            <w:pPr>
              <w:pStyle w:val="Compact"/>
              <w:jc w:val="left"/>
            </w:pPr>
            <w:r>
              <w:rPr>
                <w:sz w:val="18"/>
              </w:rPr>
              <w:t xml:space="preserve">功能点ID、功能点名称、架构层级、子系统名称、功能簇名称、功能簇ID</w:t>
            </w:r>
          </w:p>
        </w:tc>
        <w:tc>
          <w:tcPr/>
          <w:p>
            <w:pPr>
              <w:pStyle w:val="Compact"/>
              <w:jc w:val="left"/>
            </w:pPr>
            <w:r>
              <w:rPr>
                <w:sz w:val="18"/>
              </w:rPr>
              <w:t xml:space="preserve">每个功能点一行；记录分组归属；当前架构层级固定为组件层</w:t>
            </w:r>
          </w:p>
        </w:tc>
      </w:tr>
      <w:tr>
        <w:tc>
          <w:tcPr/>
          <w:p>
            <w:pPr>
              <w:pStyle w:val="Compact"/>
              <w:jc w:val="left"/>
            </w:pPr>
            <w:r>
              <w:rPr>
                <w:sz w:val="18"/>
              </w:rPr>
              <w:t xml:space="preserve">表2：聚类功能点关系表</w:t>
            </w:r>
          </w:p>
        </w:tc>
        <w:tc>
          <w:tcPr/>
          <w:p>
            <w:pPr>
              <w:pStyle w:val="Compact"/>
              <w:jc w:val="left"/>
            </w:pPr>
            <w:r>
              <w:rPr>
                <w:sz w:val="18"/>
              </w:rPr>
              <w:t xml:space="preserve">映射关系ID、源/目标功能点ID及名称、关系类型、方向、置信度、证据、所属源/目标簇</w:t>
            </w:r>
          </w:p>
        </w:tc>
        <w:tc>
          <w:tcPr/>
          <w:p>
            <w:pPr>
              <w:pStyle w:val="Compact"/>
              <w:jc w:val="left"/>
            </w:pPr>
            <w:r>
              <w:rPr>
                <w:sz w:val="18"/>
              </w:rPr>
              <w:t xml:space="preserve">仅保留可引用端点；增加REL编号和簇标签；标准版使用“关系类型(标准编码)”</w:t>
            </w:r>
          </w:p>
        </w:tc>
      </w:tr>
      <w:tr>
        <w:tc>
          <w:tcPr/>
          <w:p>
            <w:pPr>
              <w:pStyle w:val="Compact"/>
              <w:jc w:val="left"/>
            </w:pPr>
            <w:r>
              <w:rPr>
                <w:sz w:val="18"/>
              </w:rPr>
              <w:t xml:space="preserve">表3：IBD/BDD拓扑连接表</w:t>
            </w:r>
          </w:p>
        </w:tc>
        <w:tc>
          <w:tcPr/>
          <w:p>
            <w:pPr>
              <w:pStyle w:val="Compact"/>
              <w:jc w:val="left"/>
            </w:pPr>
            <w:r>
              <w:rPr>
                <w:sz w:val="18"/>
              </w:rPr>
              <w:t xml:space="preserve">连接ID、源/目标名称、源/目标端口、关系类型、流对象、所属源/目标簇</w:t>
            </w:r>
          </w:p>
        </w:tc>
        <w:tc>
          <w:tcPr/>
          <w:p>
            <w:pPr>
              <w:pStyle w:val="Compact"/>
              <w:jc w:val="left"/>
            </w:pPr>
            <w:r>
              <w:rPr>
                <w:sz w:val="18"/>
              </w:rPr>
              <w:t xml:space="preserve">使用与表2相同的有效关系列表，生成L编号与端口连接</w:t>
            </w:r>
          </w:p>
        </w:tc>
      </w:tr>
    </w:tbl>
    <w:p>
      <w:pPr>
        <w:pStyle w:val="BodyText"/>
      </w:pPr>
      <w:r>
        <w:t xml:space="preserve">在未阻断的生成阶段，旧版会丢弃端点不存在的关系；前置校验版先报告这类错误并终止，后续过滤属于防御逻辑。正式设计应报告原始、去重、拒绝、有效和导出数量，避免静默丢失需求关系。</w:t>
      </w:r>
    </w:p>
    <w:p>
      <w:pPr>
        <w:pStyle w:val="BodyText"/>
      </w:pPr>
      <w:r>
        <w:t xml:space="preserve">MBSE_all的端口策略为源outputs[0]、目标inputs[0]，缺失时为“—”。DATA_FLOW流对象取源端口，TRIGGER使用“触发信号”，其他类型为“—”。parallel/excludes应保留并发/约束语义，不应把空流对象解释为无效关系；转换为约束模型还需下游约定。较早版本对所有类型均取源端口作为流对象，需统一。</w:t>
      </w:r>
    </w:p>
    <w:p>
      <w:pPr>
        <w:pStyle w:val="CaptionedFigure"/>
      </w:pPr>
      <w:r>
        <w:drawing>
          <wp:inline>
            <wp:extent cx="5334000" cy="5591527"/>
            <wp:effectExtent b="0" l="0" r="0" t="0"/>
            <wp:docPr descr="图2 关系与拓扑生成流程" title="" id="34" name="Picture"/>
            <a:graphic>
              <a:graphicData uri="http://schemas.openxmlformats.org/drawingml/2006/picture">
                <pic:pic>
                  <pic:nvPicPr>
                    <pic:cNvPr descr="02_关系与拓扑生成流程.png" id="35" name="Picture"/>
                    <pic:cNvPicPr>
                      <a:picLocks noChangeArrowheads="1" noChangeAspect="1"/>
                    </pic:cNvPicPr>
                  </pic:nvPicPr>
                  <pic:blipFill>
                    <a:blip r:embed="rId33"/>
                    <a:stretch>
                      <a:fillRect/>
                    </a:stretch>
                  </pic:blipFill>
                  <pic:spPr bwMode="auto">
                    <a:xfrm>
                      <a:off x="0" y="0"/>
                      <a:ext cx="5334000" cy="5591527"/>
                    </a:xfrm>
                    <a:prstGeom prst="rect">
                      <a:avLst/>
                    </a:prstGeom>
                    <a:noFill/>
                    <a:ln w="9525">
                      <a:noFill/>
                      <a:headEnd/>
                      <a:tailEnd/>
                    </a:ln>
                  </pic:spPr>
                </pic:pic>
              </a:graphicData>
            </a:graphic>
          </wp:inline>
        </w:drawing>
      </w:r>
    </w:p>
    <w:p>
      <w:pPr>
        <w:pStyle w:val="ImageCaption"/>
      </w:pPr>
      <w:r>
        <w:t xml:space="preserve">图2 关系与拓扑生成流程</w:t>
      </w:r>
    </w:p>
    <w:bookmarkEnd w:id="36"/>
    <w:bookmarkStart w:id="37" w:name="评价方法与参数选择"/>
    <w:p>
      <w:pPr>
        <w:pStyle w:val="Heading3"/>
      </w:pPr>
      <w:r>
        <w:t xml:space="preserve">3.5 评价方法与参数选择</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指标</w:t>
            </w:r>
          </w:p>
        </w:tc>
        <w:tc>
          <w:tcPr>
            <w:shd w:fill="EAF2FA"/>
          </w:tcPr>
          <w:p>
            <w:pPr>
              <w:pStyle w:val="Compact"/>
              <w:jc w:val="left"/>
            </w:pPr>
            <w:r>
              <w:rPr>
                <w:sz w:val="18"/>
              </w:rPr>
              <w:t xml:space="preserve">当前实现口径或设计含义</w:t>
            </w:r>
          </w:p>
        </w:tc>
        <w:tc>
          <w:tcPr>
            <w:shd w:fill="EAF2FA"/>
          </w:tcPr>
          <w:p>
            <w:pPr>
              <w:pStyle w:val="Compact"/>
              <w:jc w:val="left"/>
            </w:pPr>
            <w:r>
              <w:rPr>
                <w:sz w:val="18"/>
              </w:rPr>
              <w:t xml:space="preserve">解释边界</w:t>
            </w:r>
          </w:p>
        </w:tc>
      </w:tr>
      <w:tr>
        <w:tc>
          <w:tcPr/>
          <w:p>
            <w:pPr>
              <w:pStyle w:val="Compact"/>
              <w:jc w:val="left"/>
            </w:pPr>
            <w:r>
              <w:rPr>
                <w:sz w:val="18"/>
              </w:rPr>
              <w:t xml:space="preserve">Silhouette</w:t>
            </w:r>
          </w:p>
        </w:tc>
        <w:tc>
          <w:tcPr/>
          <w:p>
            <w:pPr>
              <w:pStyle w:val="Compact"/>
              <w:jc w:val="left"/>
            </w:pPr>
            <w:r>
              <w:rPr>
                <w:sz w:val="18"/>
              </w:rPr>
              <w:t xml:space="preserve">使用余弦距离评价；脚本对簇数和单元素簇设置计算条件</w:t>
            </w:r>
          </w:p>
        </w:tc>
        <w:tc>
          <w:tcPr/>
          <w:p>
            <w:pPr>
              <w:pStyle w:val="Compact"/>
              <w:jc w:val="left"/>
            </w:pPr>
            <w:r>
              <w:rPr>
                <w:sz w:val="18"/>
              </w:rPr>
              <w:t xml:space="preserve">缺失值不可当0分；当前实现遇单元素簇会不计算</w:t>
            </w:r>
          </w:p>
        </w:tc>
      </w:tr>
      <w:tr>
        <w:tc>
          <w:tcPr/>
          <w:p>
            <w:pPr>
              <w:pStyle w:val="Compact"/>
              <w:jc w:val="left"/>
            </w:pPr>
            <w:r>
              <w:rPr>
                <w:sz w:val="18"/>
              </w:rPr>
              <w:t xml:space="preserve">DB指数</w:t>
            </w:r>
          </w:p>
        </w:tc>
        <w:tc>
          <w:tcPr/>
          <w:p>
            <w:pPr>
              <w:pStyle w:val="Compact"/>
              <w:jc w:val="left"/>
            </w:pPr>
            <w:r>
              <w:rPr>
                <w:sz w:val="18"/>
              </w:rPr>
              <w:t xml:space="preserve">簇内散度与簇间分离，越低越好</w:t>
            </w:r>
          </w:p>
        </w:tc>
        <w:tc>
          <w:tcPr/>
          <w:p>
            <w:pPr>
              <w:pStyle w:val="Compact"/>
              <w:jc w:val="left"/>
            </w:pPr>
            <w:r>
              <w:rPr>
                <w:sz w:val="18"/>
              </w:rPr>
              <w:t xml:space="preserve">与Silhouette共用脚本判断条件，不代表算法本身要求每簇至少2点</w:t>
            </w:r>
          </w:p>
        </w:tc>
      </w:tr>
      <w:tr>
        <w:tc>
          <w:tcPr/>
          <w:p>
            <w:pPr>
              <w:pStyle w:val="Compact"/>
              <w:jc w:val="left"/>
            </w:pPr>
            <w:r>
              <w:rPr>
                <w:sz w:val="18"/>
              </w:rPr>
              <w:t xml:space="preserve">InnerSim</w:t>
            </w:r>
          </w:p>
        </w:tc>
        <w:tc>
          <w:tcPr/>
          <w:p>
            <w:pPr>
              <w:pStyle w:val="Compact"/>
              <w:jc w:val="left"/>
            </w:pPr>
            <w:r>
              <w:rPr>
                <w:sz w:val="18"/>
              </w:rPr>
              <w:t xml:space="preserve">汇总所有非单元素簇内无序点对的余弦相似度，再求均值</w:t>
            </w:r>
          </w:p>
        </w:tc>
        <w:tc>
          <w:tcPr/>
          <w:p>
            <w:pPr>
              <w:pStyle w:val="Compact"/>
              <w:jc w:val="left"/>
            </w:pPr>
            <w:r>
              <w:rPr>
                <w:sz w:val="18"/>
              </w:rPr>
              <w:t xml:space="preserve">大簇包含更多点对，贡献较大</w:t>
            </w:r>
          </w:p>
        </w:tc>
      </w:tr>
      <w:tr>
        <w:tc>
          <w:tcPr/>
          <w:p>
            <w:pPr>
              <w:pStyle w:val="Compact"/>
              <w:jc w:val="left"/>
            </w:pPr>
            <w:r>
              <w:rPr>
                <w:sz w:val="18"/>
              </w:rPr>
              <w:t xml:space="preserve">InterSim</w:t>
            </w:r>
          </w:p>
        </w:tc>
        <w:tc>
          <w:tcPr/>
          <w:p>
            <w:pPr>
              <w:pStyle w:val="Compact"/>
              <w:jc w:val="left"/>
            </w:pPr>
            <w:r>
              <w:rPr>
                <w:sz w:val="18"/>
              </w:rPr>
              <w:t xml:space="preserve">各簇向量均值构成质心，对质心间相似度求均值</w:t>
            </w:r>
          </w:p>
        </w:tc>
        <w:tc>
          <w:tcPr/>
          <w:p>
            <w:pPr>
              <w:pStyle w:val="Compact"/>
              <w:jc w:val="left"/>
            </w:pPr>
            <w:r>
              <w:rPr>
                <w:sz w:val="18"/>
              </w:rPr>
              <w:t xml:space="preserve">是簇质心口径，不是全部跨簇样本对的均值</w:t>
            </w:r>
          </w:p>
        </w:tc>
      </w:tr>
      <w:tr>
        <w:tc>
          <w:tcPr/>
          <w:p>
            <w:pPr>
              <w:pStyle w:val="Compact"/>
              <w:jc w:val="left"/>
            </w:pPr>
            <w:r>
              <w:rPr>
                <w:sz w:val="18"/>
              </w:rPr>
              <w:t xml:space="preserve">Purity</w:t>
            </w:r>
          </w:p>
        </w:tc>
        <w:tc>
          <w:tcPr/>
          <w:p>
            <w:pPr>
              <w:pStyle w:val="Compact"/>
              <w:jc w:val="left"/>
            </w:pPr>
            <w:r>
              <w:rPr>
                <w:sz w:val="18"/>
              </w:rPr>
              <w:t xml:space="preserve">各簇最多域标签计数之和除以总样本数</w:t>
            </w:r>
          </w:p>
        </w:tc>
        <w:tc>
          <w:tcPr/>
          <w:p>
            <w:pPr>
              <w:pStyle w:val="Compact"/>
              <w:jc w:val="left"/>
            </w:pPr>
            <w:r>
              <w:rPr>
                <w:sz w:val="18"/>
              </w:rPr>
              <w:t xml:space="preserve">依赖人工整车域标签；未提供时应标为缺失</w:t>
            </w:r>
          </w:p>
        </w:tc>
      </w:tr>
      <w:tr>
        <w:tc>
          <w:tcPr/>
          <w:p>
            <w:pPr>
              <w:pStyle w:val="Compact"/>
              <w:jc w:val="left"/>
            </w:pPr>
            <w:r>
              <w:rPr>
                <w:sz w:val="18"/>
              </w:rPr>
              <w:t xml:space="preserve">isolated_ratio</w:t>
            </w:r>
          </w:p>
        </w:tc>
        <w:tc>
          <w:tcPr/>
          <w:p>
            <w:pPr>
              <w:pStyle w:val="Compact"/>
              <w:jc w:val="left"/>
            </w:pPr>
            <w:r>
              <w:rPr>
                <w:sz w:val="18"/>
              </w:rPr>
              <w:t xml:space="preserve">单元素簇数量 / 总簇数量</w:t>
            </w:r>
          </w:p>
        </w:tc>
        <w:tc>
          <w:tcPr/>
          <w:p>
            <w:pPr>
              <w:pStyle w:val="Compact"/>
              <w:jc w:val="left"/>
            </w:pPr>
            <w:r>
              <w:rPr>
                <w:sz w:val="18"/>
              </w:rPr>
              <w:t xml:space="preserve">衡量簇的碎片化，不是单元素样本占全部样本的比例</w:t>
            </w:r>
          </w:p>
        </w:tc>
      </w:tr>
      <w:tr>
        <w:tc>
          <w:tcPr/>
          <w:p>
            <w:pPr>
              <w:pStyle w:val="Compact"/>
              <w:jc w:val="left"/>
            </w:pPr>
            <w:r>
              <w:rPr>
                <w:sz w:val="18"/>
              </w:rPr>
              <w:t xml:space="preserve">ArchScore（目标）</w:t>
            </w:r>
          </w:p>
        </w:tc>
        <w:tc>
          <w:tcPr/>
          <w:p>
            <w:pPr>
              <w:pStyle w:val="Compact"/>
              <w:jc w:val="left"/>
            </w:pPr>
            <w:r>
              <w:rPr>
                <w:sz w:val="18"/>
              </w:rPr>
              <w:t xml:space="preserve">0.35×InnerSim + 0.35×(1−InterSim) + 0.30×Purity</w:t>
            </w:r>
          </w:p>
        </w:tc>
        <w:tc>
          <w:tcPr/>
          <w:p>
            <w:pPr>
              <w:pStyle w:val="Compact"/>
              <w:jc w:val="left"/>
            </w:pPr>
            <w:r>
              <w:rPr>
                <w:sz w:val="18"/>
              </w:rPr>
              <w:t xml:space="preserve">需统一到同一入口，并记录公式版本</w:t>
            </w:r>
          </w:p>
        </w:tc>
      </w:tr>
    </w:tbl>
    <w:p>
      <w:pPr>
        <w:pStyle w:val="BodyText"/>
      </w:pPr>
      <w:r>
        <w:t xml:space="preserve">mbse_complete在缺少Purity时只求前两项，未将0.70权重重新归一化。这种结果是语义部分得分，不能与含Purity的完整得分直接比较；本方案建议分别标识完整得分和部分得分，并显式记录缺失原因。当前完整版会把说明从数值表移除，而JSON保留，后续应统一元数据。</w:t>
      </w:r>
    </w:p>
    <w:p>
      <w:pPr>
        <w:pStyle w:val="BodyText"/>
      </w:pPr>
      <w:r>
        <w:t xml:space="preserve">权重敏感性分析作为待实施实验：固定同一数据和向量，遍历threshold候选集，计算指标；以基准(0.35,0.35,0.30)及如(0.40,0.40,0.20)、(0.30,0.30,0.40)、(0.40,0.30,0.30)等候选方案重新排序。候选权重为本文建议，并非已有实验结论。应报告最优阈值、簇数、分区变化和得分；只有多组结果稳定且业务复核通过，才讨论稳健性。无有效域标签时先完成语义评价，不得虚构Purity。</w:t>
      </w:r>
    </w:p>
    <w:bookmarkEnd w:id="37"/>
    <w:bookmarkStart w:id="38" w:name="整合主流程伪代码设计方案"/>
    <w:p>
      <w:pPr>
        <w:pStyle w:val="Heading3"/>
      </w:pPr>
      <w:r>
        <w:t xml:space="preserve">3.6 整合主流程伪代码（设计方案）</w:t>
      </w:r>
    </w:p>
    <w:p>
      <w:pPr>
        <w:pStyle w:val="SourceCode"/>
      </w:pPr>
      <w:r>
        <w:rPr>
          <w:rStyle w:val="VerbatimChar"/>
        </w:rPr>
        <w:t xml:space="preserve">输入：板块一JSON D；聚类配置 C；评价配置 W</w:t>
      </w:r>
      <w:r>
        <w:br/>
      </w:r>
      <w:r>
        <w:rPr>
          <w:rStyle w:val="VerbatimChar"/>
        </w:rPr>
        <w:t xml:space="preserve">输出：三张架构表、评价结果、校验报告、下游交换文件</w:t>
      </w:r>
      <w:r>
        <w:br/>
      </w:r>
      <w:r>
        <w:br/>
      </w:r>
      <w:r>
        <w:rPr>
          <w:rStyle w:val="VerbatimChar"/>
        </w:rPr>
        <w:t xml:space="preserve">F, R, S ← 展开功能点、关系和摘要(D)</w:t>
      </w:r>
      <w:r>
        <w:br/>
      </w:r>
      <w:r>
        <w:rPr>
          <w:rStyle w:val="VerbatimChar"/>
        </w:rPr>
        <w:t xml:space="preserve">report ← 校验必填字段、ID唯一性、类型、置信度与端点引用(F, R)</w:t>
      </w:r>
      <w:r>
        <w:br/>
      </w:r>
      <w:r>
        <w:rPr>
          <w:rStyle w:val="VerbatimChar"/>
        </w:rPr>
        <w:t xml:space="preserve">R ← 按统一关系编码去重(R)</w:t>
      </w:r>
      <w:r>
        <w:br/>
      </w:r>
      <w:r>
        <w:rPr>
          <w:rStyle w:val="VerbatimChar"/>
        </w:rPr>
        <w:t xml:space="preserve">report += 校验DATA_FLOW源outputs与目标inputs(F, R)</w:t>
      </w:r>
      <w:r>
        <w:br/>
      </w:r>
      <w:r>
        <w:rPr>
          <w:rStyle w:val="VerbatimChar"/>
        </w:rPr>
        <w:t xml:space="preserve">若 report含阻断错误：输出报告；停止发布本次结果</w:t>
      </w:r>
      <w:r>
        <w:br/>
      </w:r>
      <w:r>
        <w:br/>
      </w:r>
      <w:r>
        <w:rPr>
          <w:rStyle w:val="VerbatimChar"/>
        </w:rPr>
        <w:t xml:space="preserve">texts ← 分词并过滤停用词(F.name)</w:t>
      </w:r>
      <w:r>
        <w:br/>
      </w:r>
      <w:r>
        <w:rPr>
          <w:rStyle w:val="VerbatimChar"/>
        </w:rPr>
        <w:t xml:space="preserve">X ← L2归一化(TFIDF(texts))</w:t>
      </w:r>
      <w:r>
        <w:br/>
      </w:r>
      <w:r>
        <w:rPr>
          <w:rStyle w:val="VerbatimChar"/>
        </w:rPr>
        <w:t xml:space="preserve">若 X无有效特征：输出错误；停止</w:t>
      </w:r>
      <w:r>
        <w:br/>
      </w:r>
      <w:r>
        <w:rPr>
          <w:rStyle w:val="VerbatimChar"/>
        </w:rPr>
        <w:t xml:space="preserve">labels ← BIRCH(X, C.threshold, C.branching_factor, n_clusters=None)</w:t>
      </w:r>
      <w:r>
        <w:br/>
      </w:r>
      <w:r>
        <w:rPr>
          <w:rStyle w:val="VerbatimChar"/>
        </w:rPr>
        <w:t xml:space="preserve">M ← 建立映射(F.id → labels、name、inputs、outputs)</w:t>
      </w:r>
      <w:r>
        <w:br/>
      </w:r>
      <w:r>
        <w:rPr>
          <w:rStyle w:val="VerbatimChar"/>
        </w:rPr>
        <w:t xml:space="preserve">T1 ← 按功能点生成归属记录(F, labels, 关键词命名规则)</w:t>
      </w:r>
      <w:r>
        <w:br/>
      </w:r>
      <w:r>
        <w:rPr>
          <w:rStyle w:val="VerbatimChar"/>
        </w:rPr>
        <w:t xml:space="preserve">T2, T3 ← 空列表</w:t>
      </w:r>
      <w:r>
        <w:br/>
      </w:r>
      <w:r>
        <w:rPr>
          <w:rStyle w:val="VerbatimChar"/>
        </w:rPr>
        <w:t xml:space="preserve">对每条有效关系 r：</w:t>
      </w:r>
      <w:r>
        <w:br/>
      </w:r>
      <w:r>
        <w:rPr>
          <w:rStyle w:val="VerbatimChar"/>
        </w:rPr>
        <w:t xml:space="preserve">    code ← 标准关系编码(r.type)</w:t>
      </w:r>
      <w:r>
        <w:br/>
      </w:r>
      <w:r>
        <w:rPr>
          <w:rStyle w:val="VerbatimChar"/>
        </w:rPr>
        <w:t xml:space="preserve">    T2 += 源/目标ID、簇标签、code、方向、证据、置信度、REL编号</w:t>
      </w:r>
      <w:r>
        <w:br/>
      </w:r>
      <w:r>
        <w:rPr>
          <w:rStyle w:val="VerbatimChar"/>
        </w:rPr>
        <w:t xml:space="preserve">    src_port, dst_port ← 源outputs首项、目标inputs首项（现有策略）</w:t>
      </w:r>
      <w:r>
        <w:br/>
      </w:r>
      <w:r>
        <w:rPr>
          <w:rStyle w:val="VerbatimChar"/>
        </w:rPr>
        <w:t xml:space="preserve">    flow ← 按code确定源端口 / 触发信号 / 无流对象</w:t>
      </w:r>
      <w:r>
        <w:br/>
      </w:r>
      <w:r>
        <w:rPr>
          <w:rStyle w:val="VerbatimChar"/>
        </w:rPr>
        <w:t xml:space="preserve">    T3 += 源/目标、端口、code、flow、簇标签、L编号</w:t>
      </w:r>
      <w:r>
        <w:br/>
      </w:r>
      <w:r>
        <w:br/>
      </w:r>
      <w:r>
        <w:rPr>
          <w:rStyle w:val="VerbatimChar"/>
        </w:rPr>
        <w:t xml:space="preserve">metrics ← 计算几何、语义、业务指标(X, labels, 可选整车域)</w:t>
      </w:r>
      <w:r>
        <w:br/>
      </w:r>
      <w:r>
        <w:rPr>
          <w:rStyle w:val="VerbatimChar"/>
        </w:rPr>
        <w:t xml:space="preserve">metrics += 按公式版本计算完整或部分ArchScore，并注明缺失原因</w:t>
      </w:r>
      <w:r>
        <w:br/>
      </w:r>
      <w:r>
        <w:rPr>
          <w:rStyle w:val="VerbatimChar"/>
        </w:rPr>
        <w:t xml:space="preserve">验收：T1功能ID覆盖完整；T2端点可追溯；len(T2)=len(T3)</w:t>
      </w:r>
      <w:r>
        <w:br/>
      </w:r>
      <w:r>
        <w:rPr>
          <w:rStyle w:val="VerbatimChar"/>
        </w:rPr>
        <w:t xml:space="preserve">验收：关系编码一致；JSON不含NaN/Infinity；记录输入版本与配置</w:t>
      </w:r>
      <w:r>
        <w:br/>
      </w:r>
      <w:r>
        <w:rPr>
          <w:rStyle w:val="VerbatimChar"/>
        </w:rPr>
        <w:t xml:space="preserve">导出Excel和JSON；校验通过后更新API缓存</w:t>
      </w:r>
      <w:r>
        <w:br/>
      </w:r>
      <w:r>
        <w:rPr>
          <w:rStyle w:val="VerbatimChar"/>
        </w:rPr>
        <w:t xml:space="preserve">按下游契约转换RAG或SysML；分别记录转换与工具校验状态</w:t>
      </w:r>
    </w:p>
    <w:p>
      <w:pPr>
        <w:pStyle w:val="FirstParagraph"/>
      </w:pPr>
      <w:r>
        <w:t xml:space="preserve">上述伪代码加入了现有多个脚本尚未统一的规则，是下一阶段实施依据，而非对当前单一入口的逐行描述。尤其“发布结果后更新缓存”不代表已有事务机制；现有API仅在子进程返回成功后重新加载文件。</w:t>
      </w:r>
    </w:p>
    <w:bookmarkEnd w:id="38"/>
    <w:bookmarkStart w:id="39" w:name="下游转换和验收设计"/>
    <w:p>
      <w:pPr>
        <w:pStyle w:val="Heading3"/>
      </w:pPr>
      <w:r>
        <w:t xml:space="preserve">3.7 下游转换和验收设计</w:t>
      </w:r>
    </w:p>
    <w:p>
      <w:pPr>
        <w:pStyle w:val="FirstParagraph"/>
      </w:pPr>
      <w:r>
        <w:t xml:space="preserve">RAG转换按功能ID补回原始event，使用聚类子系统名称作为scenario，constraint现阶段留空，输出caseId、projectName、functions和relations。转换器仍读取关系表的“关系类型”，而标准化产物采用“关系类型(标准编码)”，必须通过字段适配后联调；按名称补充流对象还存在同名功能误关联风险。</w:t>
      </w:r>
    </w:p>
    <w:p>
      <w:pPr>
        <w:pStyle w:val="BodyText"/>
      </w:pPr>
      <w:r>
        <w:t xml:space="preserve">SysML转换将分组、功能、端口、流对象和关系表达为模型元素。建议验收顺序为：三表引用检查 → 转换文件结构检查 → 目标版本解析器语法检查 → 引用与类型语义检查 → 工具导入并核对IBD/BDD。SysML风格JSON包含@context或</w:t>
      </w:r>
      <w:r>
        <w:t xml:space="preserve">@type</w:t>
      </w:r>
      <w:r>
        <w:t xml:space="preserve">，不足以证明其满足目标工具的正式交换模式；标准版本、导入格式、端口类型和约束表示需确认。</w:t>
      </w:r>
    </w:p>
    <w:bookmarkEnd w:id="39"/>
    <w:bookmarkEnd w:id="40"/>
    <w:bookmarkStart w:id="45" w:name="四关键接口"/>
    <w:p>
      <w:pPr>
        <w:pStyle w:val="Heading2"/>
      </w:pPr>
      <w:r>
        <w:t xml:space="preserve">四、关键接口</w:t>
      </w:r>
    </w:p>
    <w:bookmarkStart w:id="41" w:name="接口总体关系"/>
    <w:p>
      <w:pPr>
        <w:pStyle w:val="Heading3"/>
      </w:pPr>
      <w:r>
        <w:t xml:space="preserve">4.1 接口总体关系</w:t>
      </w:r>
    </w:p>
    <w:p>
      <w:pPr>
        <w:pStyle w:val="FirstParagraph"/>
      </w:pPr>
      <w:r>
        <w:t xml:space="preserve">板块一 → 文件输入适配 → 聚类/三表生成 → 文件及REST输出 → RAG/SysML适配 → 下游使用方。现有代码已能给出主要字段和路由，下述内容作为“代码现状接口”；部署地址、正式Schema、鉴权和联调责任人没有依据，统一留空待补充。</w:t>
      </w:r>
    </w:p>
    <w:bookmarkEnd w:id="41"/>
    <w:bookmarkStart w:id="42" w:name="上游与文件交换接口"/>
    <w:p>
      <w:pPr>
        <w:pStyle w:val="Heading3"/>
      </w:pPr>
      <w:r>
        <w:t xml:space="preserve">4.2 上游与文件交换接口</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shd w:fill="EAF2FA"/>
          </w:tcPr>
          <w:p>
            <w:pPr>
              <w:pStyle w:val="Compact"/>
              <w:jc w:val="left"/>
            </w:pPr>
            <w:r>
              <w:rPr>
                <w:sz w:val="18"/>
              </w:rPr>
              <w:t xml:space="preserve">编号</w:t>
            </w:r>
          </w:p>
        </w:tc>
        <w:tc>
          <w:tcPr>
            <w:shd w:fill="EAF2FA"/>
          </w:tcPr>
          <w:p>
            <w:pPr>
              <w:pStyle w:val="Compact"/>
              <w:jc w:val="left"/>
            </w:pPr>
            <w:r>
              <w:rPr>
                <w:sz w:val="18"/>
              </w:rPr>
              <w:t xml:space="preserve">接口</w:t>
            </w:r>
          </w:p>
        </w:tc>
        <w:tc>
          <w:tcPr>
            <w:shd w:fill="EAF2FA"/>
          </w:tcPr>
          <w:p>
            <w:pPr>
              <w:pStyle w:val="Compact"/>
              <w:jc w:val="left"/>
            </w:pPr>
            <w:r>
              <w:rPr>
                <w:sz w:val="18"/>
              </w:rPr>
              <w:t xml:space="preserve">已知输入/输出</w:t>
            </w:r>
          </w:p>
        </w:tc>
        <w:tc>
          <w:tcPr>
            <w:shd w:fill="EAF2FA"/>
          </w:tcPr>
          <w:p>
            <w:pPr>
              <w:pStyle w:val="Compact"/>
              <w:jc w:val="left"/>
            </w:pPr>
            <w:r>
              <w:rPr>
                <w:sz w:val="18"/>
              </w:rPr>
              <w:t xml:space="preserve">尚待确认</w:t>
            </w:r>
          </w:p>
        </w:tc>
      </w:tr>
      <w:tr>
        <w:tc>
          <w:tcPr/>
          <w:p>
            <w:pPr>
              <w:pStyle w:val="Compact"/>
              <w:jc w:val="left"/>
            </w:pPr>
            <w:r>
              <w:rPr>
                <w:sz w:val="18"/>
              </w:rPr>
              <w:t xml:space="preserve">IF-01</w:t>
            </w:r>
          </w:p>
        </w:tc>
        <w:tc>
          <w:tcPr/>
          <w:p>
            <w:pPr>
              <w:pStyle w:val="Compact"/>
              <w:jc w:val="left"/>
            </w:pPr>
            <w:r>
              <w:rPr>
                <w:sz w:val="18"/>
              </w:rPr>
              <w:t xml:space="preserve">板块一→板块二</w:t>
            </w:r>
          </w:p>
        </w:tc>
        <w:tc>
          <w:tcPr/>
          <w:p>
            <w:pPr>
              <w:pStyle w:val="Compact"/>
              <w:jc w:val="left"/>
            </w:pPr>
            <w:r>
              <w:rPr>
                <w:sz w:val="18"/>
              </w:rPr>
              <w:t xml:space="preserve">输入JSON：raw_text、function_points、relations、summary；通过id/source/target关联</w:t>
            </w:r>
          </w:p>
        </w:tc>
        <w:tc>
          <w:tcPr/>
          <w:p>
            <w:pPr>
              <w:pStyle w:val="Compact"/>
              <w:jc w:val="left"/>
            </w:pPr>
            <w:r>
              <w:rPr>
                <w:sz w:val="18"/>
              </w:rPr>
              <w:t xml:space="preserve">正式Schema、版本、必填/可空规则、交付方式：____</w:t>
            </w:r>
          </w:p>
        </w:tc>
      </w:tr>
      <w:tr>
        <w:tc>
          <w:tcPr/>
          <w:p>
            <w:pPr>
              <w:pStyle w:val="Compact"/>
              <w:jc w:val="left"/>
            </w:pPr>
            <w:r>
              <w:rPr>
                <w:sz w:val="18"/>
              </w:rPr>
              <w:t xml:space="preserve">IF-02</w:t>
            </w:r>
          </w:p>
        </w:tc>
        <w:tc>
          <w:tcPr/>
          <w:p>
            <w:pPr>
              <w:pStyle w:val="Compact"/>
              <w:jc w:val="left"/>
            </w:pPr>
            <w:r>
              <w:rPr>
                <w:sz w:val="18"/>
              </w:rPr>
              <w:t xml:space="preserve">输入适配→聚类</w:t>
            </w:r>
          </w:p>
        </w:tc>
        <w:tc>
          <w:tcPr/>
          <w:p>
            <w:pPr>
              <w:pStyle w:val="Compact"/>
              <w:jc w:val="left"/>
            </w:pPr>
            <w:r>
              <w:rPr>
                <w:sz w:val="18"/>
              </w:rPr>
              <w:t xml:space="preserve">Excel的功能点列表、功能点关系图；摘要信息留存</w:t>
            </w:r>
          </w:p>
        </w:tc>
        <w:tc>
          <w:tcPr/>
          <w:p>
            <w:pPr>
              <w:pStyle w:val="Compact"/>
              <w:jc w:val="left"/>
            </w:pPr>
            <w:r>
              <w:rPr>
                <w:sz w:val="18"/>
              </w:rPr>
              <w:t xml:space="preserve">文件命名、路径、批次与编码约定：____</w:t>
            </w:r>
          </w:p>
        </w:tc>
      </w:tr>
      <w:tr>
        <w:tc>
          <w:tcPr/>
          <w:p>
            <w:pPr>
              <w:pStyle w:val="Compact"/>
              <w:jc w:val="left"/>
            </w:pPr>
            <w:r>
              <w:rPr>
                <w:sz w:val="18"/>
              </w:rPr>
              <w:t xml:space="preserve">IF-03</w:t>
            </w:r>
          </w:p>
        </w:tc>
        <w:tc>
          <w:tcPr/>
          <w:p>
            <w:pPr>
              <w:pStyle w:val="Compact"/>
              <w:jc w:val="left"/>
            </w:pPr>
            <w:r>
              <w:rPr>
                <w:sz w:val="18"/>
              </w:rPr>
              <w:t xml:space="preserve">三表生成→消费端</w:t>
            </w:r>
          </w:p>
        </w:tc>
        <w:tc>
          <w:tcPr/>
          <w:p>
            <w:pPr>
              <w:pStyle w:val="Compact"/>
              <w:jc w:val="left"/>
            </w:pPr>
            <w:r>
              <w:rPr>
                <w:sz w:val="18"/>
              </w:rPr>
              <w:t xml:space="preserve">Excel三张Sheet及JSON同名数组；标准版指标键为聚类评估指标</w:t>
            </w:r>
          </w:p>
        </w:tc>
        <w:tc>
          <w:tcPr/>
          <w:p>
            <w:pPr>
              <w:pStyle w:val="Compact"/>
              <w:jc w:val="left"/>
            </w:pPr>
            <w:r>
              <w:rPr>
                <w:sz w:val="18"/>
              </w:rPr>
              <w:t xml:space="preserve">字段版本、标准关系码、方向枚举：____</w:t>
            </w:r>
          </w:p>
        </w:tc>
      </w:tr>
      <w:tr>
        <w:tc>
          <w:tcPr/>
          <w:p>
            <w:pPr>
              <w:pStyle w:val="Compact"/>
              <w:jc w:val="left"/>
            </w:pPr>
            <w:r>
              <w:rPr>
                <w:sz w:val="18"/>
              </w:rPr>
              <w:t xml:space="preserve">IF-04</w:t>
            </w:r>
          </w:p>
        </w:tc>
        <w:tc>
          <w:tcPr/>
          <w:p>
            <w:pPr>
              <w:pStyle w:val="Compact"/>
              <w:jc w:val="left"/>
            </w:pPr>
            <w:r>
              <w:rPr>
                <w:sz w:val="18"/>
              </w:rPr>
              <w:t xml:space="preserve">三表→RAG模块</w:t>
            </w:r>
          </w:p>
        </w:tc>
        <w:tc>
          <w:tcPr/>
          <w:p>
            <w:pPr>
              <w:pStyle w:val="Compact"/>
              <w:jc w:val="left"/>
            </w:pPr>
            <w:r>
              <w:rPr>
                <w:sz w:val="18"/>
              </w:rPr>
              <w:t xml:space="preserve">caseId、projectName、functions、relations；functions含functionId及事件字段；relations含source/target/type/flowObject</w:t>
            </w:r>
          </w:p>
        </w:tc>
        <w:tc>
          <w:tcPr/>
          <w:p>
            <w:pPr>
              <w:pStyle w:val="Compact"/>
              <w:jc w:val="left"/>
            </w:pPr>
            <w:r>
              <w:rPr>
                <w:sz w:val="18"/>
              </w:rPr>
              <w:t xml:space="preserve">最终消费模块、约束字段、兼容策略：____</w:t>
            </w:r>
          </w:p>
        </w:tc>
      </w:tr>
      <w:tr>
        <w:tc>
          <w:tcPr/>
          <w:p>
            <w:pPr>
              <w:pStyle w:val="Compact"/>
              <w:jc w:val="left"/>
            </w:pPr>
            <w:r>
              <w:rPr>
                <w:sz w:val="18"/>
              </w:rPr>
              <w:t xml:space="preserve">IF-05</w:t>
            </w:r>
          </w:p>
        </w:tc>
        <w:tc>
          <w:tcPr/>
          <w:p>
            <w:pPr>
              <w:pStyle w:val="Compact"/>
              <w:jc w:val="left"/>
            </w:pPr>
            <w:r>
              <w:rPr>
                <w:sz w:val="18"/>
              </w:rPr>
              <w:t xml:space="preserve">三表→SysML模块</w:t>
            </w:r>
          </w:p>
        </w:tc>
        <w:tc>
          <w:tcPr/>
          <w:p>
            <w:pPr>
              <w:pStyle w:val="Compact"/>
              <w:jc w:val="left"/>
            </w:pPr>
            <w:r>
              <w:rPr>
                <w:sz w:val="18"/>
              </w:rPr>
              <w:t xml:space="preserve">.sysml文本及SysML风格JSON样例</w:t>
            </w:r>
          </w:p>
        </w:tc>
        <w:tc>
          <w:tcPr/>
          <w:p>
            <w:pPr>
              <w:pStyle w:val="Compact"/>
              <w:jc w:val="left"/>
            </w:pPr>
            <w:r>
              <w:rPr>
                <w:sz w:val="18"/>
              </w:rPr>
              <w:t xml:space="preserve">SysML标准版本、工具、导入Schema、语义验收：____</w:t>
            </w:r>
          </w:p>
        </w:tc>
      </w:tr>
    </w:tbl>
    <w:p>
      <w:pPr>
        <w:pStyle w:val="BodyText"/>
      </w:pPr>
      <w:r>
        <w:t xml:space="preserve">早期汇报中的standardized_dataset.json、cluster_result.json、component_mapping_result.json、dataflow_check_result.json及function_graph_networkx.json属于阶段接口设想。本次代码材料未提供与之对应的完整正式契约，不在本报告中补造字段。</w:t>
      </w:r>
    </w:p>
    <w:bookmarkEnd w:id="42"/>
    <w:bookmarkStart w:id="43" w:name="rest接口apiapi_server.py现状"/>
    <w:p>
      <w:pPr>
        <w:pStyle w:val="Heading3"/>
      </w:pPr>
      <w:r>
        <w:t xml:space="preserve">4.3 REST接口（api/api_server.py现状）</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方法与路径</w:t>
            </w:r>
          </w:p>
        </w:tc>
        <w:tc>
          <w:tcPr>
            <w:shd w:fill="EAF2FA"/>
          </w:tcPr>
          <w:p>
            <w:pPr>
              <w:pStyle w:val="Compact"/>
              <w:jc w:val="left"/>
            </w:pPr>
            <w:r>
              <w:rPr>
                <w:sz w:val="18"/>
              </w:rPr>
              <w:t xml:space="preserve">请求参数</w:t>
            </w:r>
          </w:p>
        </w:tc>
        <w:tc>
          <w:tcPr>
            <w:shd w:fill="EAF2FA"/>
          </w:tcPr>
          <w:p>
            <w:pPr>
              <w:pStyle w:val="Compact"/>
              <w:jc w:val="left"/>
            </w:pPr>
            <w:r>
              <w:rPr>
                <w:sz w:val="18"/>
              </w:rPr>
              <w:t xml:space="preserve">当前返回或行为</w:t>
            </w:r>
          </w:p>
        </w:tc>
      </w:tr>
      <w:tr>
        <w:tc>
          <w:tcPr/>
          <w:p>
            <w:pPr>
              <w:pStyle w:val="Compact"/>
              <w:jc w:val="left"/>
            </w:pPr>
            <w:r>
              <w:rPr>
                <w:sz w:val="18"/>
              </w:rPr>
              <w:t xml:space="preserve">GET /api/v1/health</w:t>
            </w:r>
          </w:p>
        </w:tc>
        <w:tc>
          <w:tcPr/>
          <w:p>
            <w:pPr>
              <w:pStyle w:val="Compact"/>
              <w:jc w:val="left"/>
            </w:pPr>
            <w:r>
              <w:rPr>
                <w:sz w:val="18"/>
              </w:rPr>
              <w:t xml:space="preserve">无</w:t>
            </w:r>
          </w:p>
        </w:tc>
        <w:tc>
          <w:tcPr/>
          <w:p>
            <w:pPr>
              <w:pStyle w:val="Compact"/>
              <w:jc w:val="left"/>
            </w:pPr>
            <w:r>
              <w:rPr>
                <w:sz w:val="18"/>
              </w:rPr>
              <w:t xml:space="preserve">status、data_loaded、loaded_at、source_file、generate_state；status为ok不保证数据已加载</w:t>
            </w:r>
          </w:p>
        </w:tc>
      </w:tr>
      <w:tr>
        <w:tc>
          <w:tcPr/>
          <w:p>
            <w:pPr>
              <w:pStyle w:val="Compact"/>
              <w:jc w:val="left"/>
            </w:pPr>
            <w:r>
              <w:rPr>
                <w:sz w:val="18"/>
              </w:rPr>
              <w:t xml:space="preserve">GET /api/v1/tables</w:t>
            </w:r>
          </w:p>
        </w:tc>
        <w:tc>
          <w:tcPr/>
          <w:p>
            <w:pPr>
              <w:pStyle w:val="Compact"/>
              <w:jc w:val="left"/>
            </w:pPr>
            <w:r>
              <w:rPr>
                <w:sz w:val="18"/>
              </w:rPr>
              <w:t xml:space="preserve">reload：bool，默认false</w:t>
            </w:r>
          </w:p>
        </w:tc>
        <w:tc>
          <w:tcPr/>
          <w:p>
            <w:pPr>
              <w:pStyle w:val="Compact"/>
              <w:jc w:val="left"/>
            </w:pPr>
            <w:r>
              <w:rPr>
                <w:sz w:val="18"/>
              </w:rPr>
              <w:t xml:space="preserve">meta、三张表及聚类评估指标；reload=true重新读盘</w:t>
            </w:r>
          </w:p>
        </w:tc>
      </w:tr>
      <w:tr>
        <w:tc>
          <w:tcPr/>
          <w:p>
            <w:pPr>
              <w:pStyle w:val="Compact"/>
              <w:jc w:val="left"/>
            </w:pPr>
            <w:r>
              <w:rPr>
                <w:sz w:val="18"/>
              </w:rPr>
              <w:t xml:space="preserve">GET /api/v1/architecture</w:t>
            </w:r>
          </w:p>
        </w:tc>
        <w:tc>
          <w:tcPr/>
          <w:p>
            <w:pPr>
              <w:pStyle w:val="Compact"/>
              <w:jc w:val="left"/>
            </w:pPr>
            <w:r>
              <w:rPr>
                <w:sz w:val="18"/>
              </w:rPr>
              <w:t xml:space="preserve">子系统名称、功能簇名称、架构层级、功能点名称（可选）</w:t>
            </w:r>
          </w:p>
        </w:tc>
        <w:tc>
          <w:tcPr/>
          <w:p>
            <w:pPr>
              <w:pStyle w:val="Compact"/>
              <w:jc w:val="left"/>
            </w:pPr>
            <w:r>
              <w:rPr>
                <w:sz w:val="18"/>
              </w:rPr>
              <w:t xml:space="preserve">total、data；多个条件依次进行子串匹配</w:t>
            </w:r>
          </w:p>
        </w:tc>
      </w:tr>
      <w:tr>
        <w:tc>
          <w:tcPr/>
          <w:p>
            <w:pPr>
              <w:pStyle w:val="Compact"/>
              <w:jc w:val="left"/>
            </w:pPr>
            <w:r>
              <w:rPr>
                <w:sz w:val="18"/>
              </w:rPr>
              <w:t xml:space="preserve">GET /api/v1/relations</w:t>
            </w:r>
          </w:p>
        </w:tc>
        <w:tc>
          <w:tcPr/>
          <w:p>
            <w:pPr>
              <w:pStyle w:val="Compact"/>
              <w:jc w:val="left"/>
            </w:pPr>
            <w:r>
              <w:rPr>
                <w:sz w:val="18"/>
              </w:rPr>
              <w:t xml:space="preserve">关系类型、源功能点名称、目标功能点名称、min_confidence（0～1）</w:t>
            </w:r>
          </w:p>
        </w:tc>
        <w:tc>
          <w:tcPr/>
          <w:p>
            <w:pPr>
              <w:pStyle w:val="Compact"/>
              <w:jc w:val="left"/>
            </w:pPr>
            <w:r>
              <w:rPr>
                <w:sz w:val="18"/>
              </w:rPr>
              <w:t xml:space="preserve">total、data；关系过滤读取标准编码列</w:t>
            </w:r>
          </w:p>
        </w:tc>
      </w:tr>
      <w:tr>
        <w:tc>
          <w:tcPr/>
          <w:p>
            <w:pPr>
              <w:pStyle w:val="Compact"/>
              <w:jc w:val="left"/>
            </w:pPr>
            <w:r>
              <w:rPr>
                <w:sz w:val="18"/>
              </w:rPr>
              <w:t xml:space="preserve">GET /api/v1/topology</w:t>
            </w:r>
          </w:p>
        </w:tc>
        <w:tc>
          <w:tcPr/>
          <w:p>
            <w:pPr>
              <w:pStyle w:val="Compact"/>
              <w:jc w:val="left"/>
            </w:pPr>
            <w:r>
              <w:rPr>
                <w:sz w:val="18"/>
              </w:rPr>
              <w:t xml:space="preserve">关系类型、源功能点名称、目标功能点名称（可选）</w:t>
            </w:r>
          </w:p>
        </w:tc>
        <w:tc>
          <w:tcPr/>
          <w:p>
            <w:pPr>
              <w:pStyle w:val="Compact"/>
              <w:jc w:val="left"/>
            </w:pPr>
            <w:r>
              <w:rPr>
                <w:sz w:val="18"/>
              </w:rPr>
              <w:t xml:space="preserve">total、data</w:t>
            </w:r>
          </w:p>
        </w:tc>
      </w:tr>
      <w:tr>
        <w:tc>
          <w:tcPr/>
          <w:p>
            <w:pPr>
              <w:pStyle w:val="Compact"/>
              <w:jc w:val="left"/>
            </w:pPr>
            <w:r>
              <w:rPr>
                <w:sz w:val="18"/>
              </w:rPr>
              <w:t xml:space="preserve">GET /api/v1/metrics</w:t>
            </w:r>
          </w:p>
        </w:tc>
        <w:tc>
          <w:tcPr/>
          <w:p>
            <w:pPr>
              <w:pStyle w:val="Compact"/>
              <w:jc w:val="left"/>
            </w:pPr>
            <w:r>
              <w:rPr>
                <w:sz w:val="18"/>
              </w:rPr>
              <w:t xml:space="preserve">无</w:t>
            </w:r>
          </w:p>
        </w:tc>
        <w:tc>
          <w:tcPr/>
          <w:p>
            <w:pPr>
              <w:pStyle w:val="Compact"/>
              <w:jc w:val="left"/>
            </w:pPr>
            <w:r>
              <w:rPr>
                <w:sz w:val="18"/>
              </w:rPr>
              <w:t xml:space="preserve">缓存中的聚类评估指标；未加载时可能为空字典</w:t>
            </w:r>
          </w:p>
        </w:tc>
      </w:tr>
      <w:tr>
        <w:tc>
          <w:tcPr/>
          <w:p>
            <w:pPr>
              <w:pStyle w:val="Compact"/>
              <w:jc w:val="left"/>
            </w:pPr>
            <w:r>
              <w:rPr>
                <w:sz w:val="18"/>
              </w:rPr>
              <w:t xml:space="preserve">GET /api/v1/function-points/{keyword}</w:t>
            </w:r>
          </w:p>
        </w:tc>
        <w:tc>
          <w:tcPr/>
          <w:p>
            <w:pPr>
              <w:pStyle w:val="Compact"/>
              <w:jc w:val="left"/>
            </w:pPr>
            <w:r>
              <w:rPr>
                <w:sz w:val="18"/>
              </w:rPr>
              <w:t xml:space="preserve">路径参数keyword</w:t>
            </w:r>
          </w:p>
        </w:tc>
        <w:tc>
          <w:tcPr/>
          <w:p>
            <w:pPr>
              <w:pStyle w:val="Compact"/>
              <w:jc w:val="left"/>
            </w:pPr>
            <w:r>
              <w:rPr>
                <w:sz w:val="18"/>
              </w:rPr>
              <w:t xml:space="preserve">功能点、相关关系、相关拓扑连接；找不到返回404</w:t>
            </w:r>
          </w:p>
        </w:tc>
      </w:tr>
      <w:tr>
        <w:tc>
          <w:tcPr/>
          <w:p>
            <w:pPr>
              <w:pStyle w:val="Compact"/>
              <w:jc w:val="left"/>
            </w:pPr>
            <w:r>
              <w:rPr>
                <w:sz w:val="18"/>
              </w:rPr>
              <w:t xml:space="preserve">POST /api/v1/generate</w:t>
            </w:r>
          </w:p>
        </w:tc>
        <w:tc>
          <w:tcPr/>
          <w:p>
            <w:pPr>
              <w:pStyle w:val="Compact"/>
              <w:jc w:val="left"/>
            </w:pPr>
            <w:r>
              <w:rPr>
                <w:sz w:val="18"/>
              </w:rPr>
              <w:t xml:space="preserve">JSON请求体：async_mode，默认true</w:t>
            </w:r>
          </w:p>
        </w:tc>
        <w:tc>
          <w:tcPr/>
          <w:p>
            <w:pPr>
              <w:pStyle w:val="Compact"/>
              <w:jc w:val="left"/>
            </w:pPr>
            <w:r>
              <w:rPr>
                <w:sz w:val="18"/>
              </w:rPr>
              <w:t xml:space="preserve">started / already_running，或同步执行结果success / failed；后台状态通过health查询</w:t>
            </w:r>
          </w:p>
        </w:tc>
      </w:tr>
    </w:tbl>
    <w:p>
      <w:pPr>
        <w:pStyle w:val="BodyText"/>
      </w:pPr>
      <w:r>
        <w:t xml:space="preserve">POST /generate调用output/mbse_output.py，子进程超时为600秒。它不会接收新的功能点JSON或上传Excel，输入须提前放在生成脚本配置路径；异步请求返回started只表示已启动，不表示生成成功。API读取output/output/MBSE_三张输出表.json，与完整指标版的“含校验”文件名不同。</w:t>
      </w:r>
    </w:p>
    <w:p>
      <w:pPr>
        <w:pStyle w:val="BodyText"/>
      </w:pPr>
      <w:r>
        <w:t xml:space="preserve">接口已见错误包括：功能点查询无结果404、缺表或生成脚本不存在500；其他文件或解析异常没有统一业务错误契约。功能点聚合查询的拓扑部分主要按名称匹配，按ID查询时可能遗漏拓扑数据，联调需验证。同一进程的生成状态与线程锁尚不足以证明多进程并发和重复生成已可靠受控。</w:t>
      </w:r>
    </w:p>
    <w:bookmarkEnd w:id="43"/>
    <w:bookmarkStart w:id="44" w:name="待补充的正式接口框架"/>
    <w:p>
      <w:pPr>
        <w:pStyle w:val="Heading3"/>
      </w:pPr>
      <w:r>
        <w:t xml:space="preserve">4.4 待补充的正式接口框架</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shd w:fill="EAF2FA"/>
          </w:tcPr>
          <w:p>
            <w:pPr>
              <w:pStyle w:val="Compact"/>
              <w:jc w:val="left"/>
            </w:pPr>
            <w:r>
              <w:rPr>
                <w:sz w:val="18"/>
              </w:rPr>
              <w:t xml:space="preserve">项目</w:t>
            </w:r>
          </w:p>
        </w:tc>
        <w:tc>
          <w:tcPr>
            <w:shd w:fill="EAF2FA"/>
          </w:tcPr>
          <w:p>
            <w:pPr>
              <w:pStyle w:val="Compact"/>
              <w:jc w:val="left"/>
            </w:pPr>
            <w:r>
              <w:rPr>
                <w:sz w:val="18"/>
              </w:rPr>
              <w:t xml:space="preserve">IF-01 上游输入</w:t>
            </w:r>
          </w:p>
        </w:tc>
        <w:tc>
          <w:tcPr>
            <w:shd w:fill="EAF2FA"/>
          </w:tcPr>
          <w:p>
            <w:pPr>
              <w:pStyle w:val="Compact"/>
              <w:jc w:val="left"/>
            </w:pPr>
            <w:r>
              <w:rPr>
                <w:sz w:val="18"/>
              </w:rPr>
              <w:t xml:space="preserve">IF-03/REST输出</w:t>
            </w:r>
          </w:p>
        </w:tc>
        <w:tc>
          <w:tcPr>
            <w:shd w:fill="EAF2FA"/>
          </w:tcPr>
          <w:p>
            <w:pPr>
              <w:pStyle w:val="Compact"/>
              <w:jc w:val="left"/>
            </w:pPr>
            <w:r>
              <w:rPr>
                <w:sz w:val="18"/>
              </w:rPr>
              <w:t xml:space="preserve">IF-04/IF-05 下游交换</w:t>
            </w:r>
          </w:p>
        </w:tc>
      </w:tr>
      <w:tr>
        <w:tc>
          <w:tcPr/>
          <w:p>
            <w:pPr>
              <w:pStyle w:val="Compact"/>
              <w:jc w:val="left"/>
            </w:pPr>
            <w:r>
              <w:rPr>
                <w:sz w:val="18"/>
              </w:rPr>
              <w:t xml:space="preserve">提供方 / 使用方 / 负责人</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服务地址 / 文件位置</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Schema版本与必填字段</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数据类型、单位、枚举</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调用时序、批次与触发条件</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认证授权与部署范围</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超时、重试、幂等、并发</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错误码与失败回执</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兼容策略与变更通知</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r>
        <w:tc>
          <w:tcPr/>
          <w:p>
            <w:pPr>
              <w:pStyle w:val="Compact"/>
              <w:jc w:val="left"/>
            </w:pPr>
            <w:r>
              <w:rPr>
                <w:sz w:val="18"/>
              </w:rPr>
              <w:t xml:space="preserve">联调样例与验收记录</w:t>
            </w:r>
          </w:p>
        </w:tc>
        <w:tc>
          <w:tcPr/>
          <w:p>
            <w:pPr>
              <w:pStyle w:val="Compact"/>
              <w:jc w:val="left"/>
            </w:pPr>
            <w:r>
              <w:rPr>
                <w:sz w:val="18"/>
              </w:rPr>
              <w:t xml:space="preserve">____</w:t>
            </w:r>
          </w:p>
        </w:tc>
        <w:tc>
          <w:tcPr/>
          <w:p>
            <w:pPr>
              <w:pStyle w:val="Compact"/>
              <w:jc w:val="left"/>
            </w:pPr>
            <w:r>
              <w:rPr>
                <w:sz w:val="18"/>
              </w:rPr>
              <w:t xml:space="preserve">____</w:t>
            </w:r>
          </w:p>
        </w:tc>
        <w:tc>
          <w:tcPr/>
          <w:p>
            <w:pPr>
              <w:pStyle w:val="Compact"/>
              <w:jc w:val="left"/>
            </w:pPr>
            <w:r>
              <w:rPr>
                <w:sz w:val="18"/>
              </w:rPr>
              <w:t xml:space="preserve">____</w:t>
            </w:r>
          </w:p>
        </w:tc>
      </w:tr>
    </w:tbl>
    <w:bookmarkEnd w:id="44"/>
    <w:bookmarkEnd w:id="45"/>
    <w:bookmarkStart w:id="46" w:name="五后续推进与验收安排"/>
    <w:p>
      <w:pPr>
        <w:pStyle w:val="Heading2"/>
      </w:pPr>
      <w:r>
        <w:t xml:space="preserve">五、后续推进与验收安排</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fill="EAF2FA"/>
          </w:tcPr>
          <w:p>
            <w:pPr>
              <w:pStyle w:val="Compact"/>
              <w:jc w:val="left"/>
            </w:pPr>
            <w:r>
              <w:rPr>
                <w:sz w:val="18"/>
              </w:rPr>
              <w:t xml:space="preserve">优先级</w:t>
            </w:r>
          </w:p>
        </w:tc>
        <w:tc>
          <w:tcPr>
            <w:shd w:fill="EAF2FA"/>
          </w:tcPr>
          <w:p>
            <w:pPr>
              <w:pStyle w:val="Compact"/>
              <w:jc w:val="left"/>
            </w:pPr>
            <w:r>
              <w:rPr>
                <w:sz w:val="18"/>
              </w:rPr>
              <w:t xml:space="preserve">工作项</w:t>
            </w:r>
          </w:p>
        </w:tc>
        <w:tc>
          <w:tcPr>
            <w:shd w:fill="EAF2FA"/>
          </w:tcPr>
          <w:p>
            <w:pPr>
              <w:pStyle w:val="Compact"/>
              <w:jc w:val="left"/>
            </w:pPr>
            <w:r>
              <w:rPr>
                <w:sz w:val="18"/>
              </w:rPr>
              <w:t xml:space="preserve">可交付的验收证据</w:t>
            </w:r>
          </w:p>
        </w:tc>
      </w:tr>
      <w:tr>
        <w:tc>
          <w:tcPr/>
          <w:p>
            <w:pPr>
              <w:pStyle w:val="Compact"/>
              <w:jc w:val="left"/>
            </w:pPr>
            <w:r>
              <w:rPr>
                <w:sz w:val="18"/>
              </w:rPr>
              <w:t xml:space="preserve">P0</w:t>
            </w:r>
          </w:p>
        </w:tc>
        <w:tc>
          <w:tcPr/>
          <w:p>
            <w:pPr>
              <w:pStyle w:val="Compact"/>
              <w:jc w:val="left"/>
            </w:pPr>
            <w:r>
              <w:rPr>
                <w:sz w:val="18"/>
              </w:rPr>
              <w:t xml:space="preserve">确定单一生成入口，合并前置校验和完整指标；API调用相同版本</w:t>
            </w:r>
          </w:p>
        </w:tc>
        <w:tc>
          <w:tcPr/>
          <w:p>
            <w:pPr>
              <w:pStyle w:val="Compact"/>
              <w:jc w:val="left"/>
            </w:pPr>
            <w:r>
              <w:rPr>
                <w:sz w:val="18"/>
              </w:rPr>
              <w:t xml:space="preserve">同一批输入生成文件并经API查询，字段和数量一致</w:t>
            </w:r>
          </w:p>
        </w:tc>
      </w:tr>
      <w:tr>
        <w:tc>
          <w:tcPr/>
          <w:p>
            <w:pPr>
              <w:pStyle w:val="Compact"/>
              <w:jc w:val="left"/>
            </w:pPr>
            <w:r>
              <w:rPr>
                <w:sz w:val="18"/>
              </w:rPr>
              <w:t xml:space="preserve">P0</w:t>
            </w:r>
          </w:p>
        </w:tc>
        <w:tc>
          <w:tcPr/>
          <w:p>
            <w:pPr>
              <w:pStyle w:val="Compact"/>
              <w:jc w:val="left"/>
            </w:pPr>
            <w:r>
              <w:rPr>
                <w:sz w:val="18"/>
              </w:rPr>
              <w:t xml:space="preserve">统一关系码、方向、指标键名与文件路径；明确Schema版本</w:t>
            </w:r>
          </w:p>
        </w:tc>
        <w:tc>
          <w:tcPr/>
          <w:p>
            <w:pPr>
              <w:pStyle w:val="Compact"/>
              <w:jc w:val="left"/>
            </w:pPr>
            <w:r>
              <w:rPr>
                <w:sz w:val="18"/>
              </w:rPr>
              <w:t xml:space="preserve">标准版结果被RAG适配器正确消费，未知字段有明确处理</w:t>
            </w:r>
          </w:p>
        </w:tc>
      </w:tr>
      <w:tr>
        <w:tc>
          <w:tcPr/>
          <w:p>
            <w:pPr>
              <w:pStyle w:val="Compact"/>
              <w:jc w:val="left"/>
            </w:pPr>
            <w:r>
              <w:rPr>
                <w:sz w:val="18"/>
              </w:rPr>
              <w:t xml:space="preserve">P0</w:t>
            </w:r>
          </w:p>
        </w:tc>
        <w:tc>
          <w:tcPr/>
          <w:p>
            <w:pPr>
              <w:pStyle w:val="Compact"/>
              <w:jc w:val="left"/>
            </w:pPr>
            <w:r>
              <w:rPr>
                <w:sz w:val="18"/>
              </w:rPr>
              <w:t xml:space="preserve">统一样例与来源追溯</w:t>
            </w:r>
          </w:p>
        </w:tc>
        <w:tc>
          <w:tcPr/>
          <w:p>
            <w:pPr>
              <w:pStyle w:val="Compact"/>
              <w:jc w:val="left"/>
            </w:pPr>
            <w:r>
              <w:rPr>
                <w:sz w:val="18"/>
              </w:rPr>
              <w:t xml:space="preserve">输入、三表、RAG及SysML产物属于同一案例与批次</w:t>
            </w:r>
          </w:p>
        </w:tc>
      </w:tr>
      <w:tr>
        <w:tc>
          <w:tcPr/>
          <w:p>
            <w:pPr>
              <w:pStyle w:val="Compact"/>
              <w:jc w:val="left"/>
            </w:pPr>
            <w:r>
              <w:rPr>
                <w:sz w:val="18"/>
              </w:rPr>
              <w:t xml:space="preserve">P1</w:t>
            </w:r>
          </w:p>
        </w:tc>
        <w:tc>
          <w:tcPr/>
          <w:p>
            <w:pPr>
              <w:pStyle w:val="Compact"/>
              <w:jc w:val="left"/>
            </w:pPr>
            <w:r>
              <w:rPr>
                <w:sz w:val="18"/>
              </w:rPr>
              <w:t xml:space="preserve">完成阈值及权重敏感性实验，补充域标签</w:t>
            </w:r>
          </w:p>
        </w:tc>
        <w:tc>
          <w:tcPr/>
          <w:p>
            <w:pPr>
              <w:pStyle w:val="Compact"/>
              <w:jc w:val="left"/>
            </w:pPr>
            <w:r>
              <w:rPr>
                <w:sz w:val="18"/>
              </w:rPr>
              <w:t xml:space="preserve">参数表、指标缺失原因、分区稳定性及人工复核记录</w:t>
            </w:r>
          </w:p>
        </w:tc>
      </w:tr>
      <w:tr>
        <w:tc>
          <w:tcPr/>
          <w:p>
            <w:pPr>
              <w:pStyle w:val="Compact"/>
              <w:jc w:val="left"/>
            </w:pPr>
            <w:r>
              <w:rPr>
                <w:sz w:val="18"/>
              </w:rPr>
              <w:t xml:space="preserve">P1</w:t>
            </w:r>
          </w:p>
        </w:tc>
        <w:tc>
          <w:tcPr/>
          <w:p>
            <w:pPr>
              <w:pStyle w:val="Compact"/>
              <w:jc w:val="left"/>
            </w:pPr>
            <w:r>
              <w:rPr>
                <w:sz w:val="18"/>
              </w:rPr>
              <w:t xml:space="preserve">改善端口匹配与约束表达，补充类型/单位</w:t>
            </w:r>
          </w:p>
        </w:tc>
        <w:tc>
          <w:tcPr/>
          <w:p>
            <w:pPr>
              <w:pStyle w:val="Compact"/>
              <w:jc w:val="left"/>
            </w:pPr>
            <w:r>
              <w:rPr>
                <w:sz w:val="18"/>
              </w:rPr>
              <w:t xml:space="preserve">多输入输出、并发、互斥及触发样例逐项验证</w:t>
            </w:r>
          </w:p>
        </w:tc>
      </w:tr>
      <w:tr>
        <w:tc>
          <w:tcPr/>
          <w:p>
            <w:pPr>
              <w:pStyle w:val="Compact"/>
              <w:jc w:val="left"/>
            </w:pPr>
            <w:r>
              <w:rPr>
                <w:sz w:val="18"/>
              </w:rPr>
              <w:t xml:space="preserve">P1</w:t>
            </w:r>
          </w:p>
        </w:tc>
        <w:tc>
          <w:tcPr/>
          <w:p>
            <w:pPr>
              <w:pStyle w:val="Compact"/>
              <w:jc w:val="left"/>
            </w:pPr>
            <w:r>
              <w:rPr>
                <w:sz w:val="18"/>
              </w:rPr>
              <w:t xml:space="preserve">修正SysML语法和类型引用，目标工具复验</w:t>
            </w:r>
          </w:p>
        </w:tc>
        <w:tc>
          <w:tcPr/>
          <w:p>
            <w:pPr>
              <w:pStyle w:val="Compact"/>
              <w:jc w:val="left"/>
            </w:pPr>
            <w:r>
              <w:rPr>
                <w:sz w:val="18"/>
              </w:rPr>
              <w:t xml:space="preserve">明确版本的解析、语义校验及导入结果</w:t>
            </w:r>
          </w:p>
        </w:tc>
      </w:tr>
      <w:tr>
        <w:tc>
          <w:tcPr/>
          <w:p>
            <w:pPr>
              <w:pStyle w:val="Compact"/>
              <w:jc w:val="left"/>
            </w:pPr>
            <w:r>
              <w:rPr>
                <w:sz w:val="18"/>
              </w:rPr>
              <w:t xml:space="preserve">P2</w:t>
            </w:r>
          </w:p>
        </w:tc>
        <w:tc>
          <w:tcPr/>
          <w:p>
            <w:pPr>
              <w:pStyle w:val="Compact"/>
              <w:jc w:val="left"/>
            </w:pPr>
            <w:r>
              <w:rPr>
                <w:sz w:val="18"/>
              </w:rPr>
              <w:t xml:space="preserve">显式三级架构节点、异常数据覆盖和服务稳健性</w:t>
            </w:r>
          </w:p>
        </w:tc>
        <w:tc>
          <w:tcPr/>
          <w:p>
            <w:pPr>
              <w:pStyle w:val="Compact"/>
              <w:jc w:val="left"/>
            </w:pPr>
            <w:r>
              <w:rPr>
                <w:sz w:val="18"/>
              </w:rPr>
              <w:t xml:space="preserve">父子节点可追溯，重复ID/空数据/同名功能等用例有记录</w:t>
            </w:r>
          </w:p>
        </w:tc>
      </w:tr>
    </w:tbl>
    <w:p>
      <w:pPr>
        <w:pStyle w:val="BodyText"/>
      </w:pPr>
      <w:r>
        <w:t xml:space="preserve">建议最低验收集覆盖：合法基线、重复关系、无效端点、空输入输出、非法类型、空功能集、缺整车域、多端口、同名功能、重生成失败和转换格式不兼容。当前资料未提供上述用例完整执行结果，应在实施后填写，不能将计划计为通过。</w:t>
      </w:r>
    </w:p>
    <w:bookmarkEnd w:id="46"/>
    <w:bookmarkStart w:id="47" w:name="附录材料索引与阅读提示"/>
    <w:p>
      <w:pPr>
        <w:pStyle w:val="Heading2"/>
      </w:pPr>
      <w:r>
        <w:t xml:space="preserve">附录：材料索引与阅读提示</w:t>
      </w:r>
    </w:p>
    <w:p>
      <w:pPr>
        <w:pStyle w:val="Compact"/>
        <w:numPr>
          <w:ilvl w:val="0"/>
          <w:numId w:val="1002"/>
        </w:numPr>
      </w:pPr>
      <w:r>
        <w:t xml:space="preserve">研究目标与表间关系：第九次8.31组会1.pptx，第1—10页。</w:t>
      </w:r>
    </w:p>
    <w:p>
      <w:pPr>
        <w:pStyle w:val="Compact"/>
        <w:numPr>
          <w:ilvl w:val="0"/>
          <w:numId w:val="1002"/>
        </w:numPr>
      </w:pPr>
      <w:r>
        <w:t xml:space="preserve">评价体系与早期接口：第六次8.14组会.pptx，第2—9页；封面日期与文件名不同，本文按文件名索引。</w:t>
      </w:r>
    </w:p>
    <w:p>
      <w:pPr>
        <w:pStyle w:val="Compact"/>
        <w:numPr>
          <w:ilvl w:val="0"/>
          <w:numId w:val="1002"/>
        </w:numPr>
      </w:pPr>
      <w:r>
        <w:t xml:space="preserve">权重及输入来源：第七次8.18组会.pptx，第3—13页；权重分析为方案，非实验结果。</w:t>
      </w:r>
    </w:p>
    <w:p>
      <w:pPr>
        <w:pStyle w:val="Compact"/>
        <w:numPr>
          <w:ilvl w:val="0"/>
          <w:numId w:val="1002"/>
        </w:numPr>
      </w:pPr>
      <w:r>
        <w:t xml:space="preserve">主要实现：input/logic_input.py；output/mbse_output.py、mbse_complete.py、MBSE_all.py；api/api_server.py。</w:t>
      </w:r>
    </w:p>
    <w:p>
      <w:pPr>
        <w:pStyle w:val="Compact"/>
        <w:numPr>
          <w:ilvl w:val="0"/>
          <w:numId w:val="1002"/>
        </w:numPr>
      </w:pPr>
      <w:r>
        <w:t xml:space="preserve">适配与证据：transform/json1-json2/transform_json.py；transform/json_sysml目录、validation_report.json；output/output中的附带JSON。</w:t>
      </w:r>
    </w:p>
    <w:p>
      <w:pPr>
        <w:pStyle w:val="Compact"/>
        <w:numPr>
          <w:ilvl w:val="0"/>
          <w:numId w:val="1002"/>
        </w:numPr>
      </w:pPr>
      <w:r>
        <w:t xml:space="preserve">中文文件名在压缩包部分条目中存在编码显示异常，本文采用内容中可辨识的逻辑名称。未修改原始代码与附件。</w:t>
      </w:r>
    </w:p>
    <w:p>
      <w:pPr>
        <w:pStyle w:val="FirstParagraph"/>
      </w:pPr>
      <w:r>
        <w:t xml:space="preserve">配套图件包含PNG（便于插入文档）、SVG（便于缩放）和DOT源文件（便于继续编辑）。总体图表达整合方案，关系拓扑图表达前置校验版代码的主要处理逻辑；二者均为处理流程图，不是某一车辆案例的IBD/BDD模型图。</w:t>
      </w:r>
    </w:p>
    <w:bookmarkEnd w:id="47"/>
    <w:bookmarkEnd w:id="48"/>
    <w:sectPr>
      <w:footerReference w:type="default" r:id="rId9"/>
      <w:pgMar w:top="1134"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板块二 · 研究与设计方案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宋体"/>
      <w:sz w:val="21"/>
    </w:rPr>
  </w:style>
  <w:style w:styleId="BodyText" w:type="paragraph">
    <w:name w:val="Body Text"/>
    <w:basedOn w:val="Normal"/>
    <w:link w:val="BodyTextChar"/>
    <w:qFormat/>
    <w:pPr>
      <w:spacing w:after="180" w:before="180"/>
    </w:pPr>
    <w:rPr>
      <w:rFonts w:ascii="Calibri" w:hAnsi="Calibri" w:eastAsia="宋体"/>
      <w:sz w:val="21"/>
    </w:rPr>
  </w:style>
  <w:style w:customStyle="1" w:styleId="FirstParagraph" w:type="paragraph">
    <w:name w:val="First Paragraph"/>
    <w:basedOn w:val="BodyText"/>
    <w:next w:val="BodyText"/>
    <w:qFormat/>
    <w:rPr>
      <w:rFonts w:ascii="Calibri" w:hAnsi="Calibri" w:eastAsia="宋体"/>
      <w:sz w:val="21"/>
    </w:rPr>
  </w:style>
  <w:style w:customStyle="1" w:styleId="Compact" w:type="paragraph">
    <w:name w:val="Compact"/>
    <w:basedOn w:val="BodyText"/>
    <w:qFormat/>
    <w:pPr>
      <w:spacing w:after="36" w:before="36"/>
    </w:pPr>
    <w:rPr>
      <w:rFonts w:ascii="Calibri" w:hAnsi="Calibri" w:eastAsia="宋体"/>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eastAsia="宋体"/>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eastAsia="宋体"/>
      <w:sz w:val="30"/>
      <w:szCs w:val="30"/>
    </w:rPr>
  </w:style>
  <w:style w:customStyle="1" w:styleId="Author" w:type="paragraph">
    <w:name w:val="Author"/>
    <w:next w:val="BodyText"/>
    <w:qFormat/>
    <w:pPr>
      <w:keepNext/>
      <w:keepLines/>
      <w:jc w:val="center"/>
    </w:pPr>
    <w:rPr>
      <w:rFonts w:ascii="Calibri" w:hAnsi="Calibri" w:eastAsia="宋体"/>
    </w:rPr>
  </w:style>
  <w:style w:styleId="Date" w:type="paragraph">
    <w:name w:val="Date"/>
    <w:next w:val="BodyText"/>
    <w:qFormat/>
    <w:pPr>
      <w:keepNext/>
      <w:keepLines/>
      <w:jc w:val="center"/>
    </w:pPr>
    <w:rPr>
      <w:rFonts w:ascii="Calibri" w:hAnsi="Calibri" w:eastAsia="宋体"/>
    </w:rPr>
  </w:style>
  <w:style w:customStyle="1" w:styleId="AbstractTitle" w:type="paragraph">
    <w:name w:val="Abstract Title"/>
    <w:basedOn w:val="Normal"/>
    <w:next w:val="Abstract"/>
    <w:qFormat/>
    <w:pPr>
      <w:keepNext/>
      <w:keepLines/>
      <w:spacing w:after="0" w:before="300"/>
      <w:jc w:val="center"/>
    </w:pPr>
    <w:rPr>
      <w:rFonts w:ascii="Calibri" w:hAnsi="Calibri" w:eastAsia="宋体"/>
      <w:b/>
      <w:color w:val="345A8A"/>
      <w:sz w:val="20"/>
      <w:szCs w:val="20"/>
    </w:rPr>
  </w:style>
  <w:style w:customStyle="1" w:styleId="Abstract" w:type="paragraph">
    <w:name w:val="Abstract"/>
    <w:basedOn w:val="Normal"/>
    <w:next w:val="BodyText"/>
    <w:qFormat/>
    <w:pPr>
      <w:keepNext/>
      <w:keepLines/>
      <w:spacing w:after="300" w:before="100"/>
    </w:pPr>
    <w:rPr>
      <w:rFonts w:ascii="Calibri" w:hAnsi="Calibri" w:eastAsia="宋体"/>
      <w:sz w:val="20"/>
      <w:szCs w:val="20"/>
    </w:rPr>
  </w:style>
  <w:style w:styleId="Bibliography" w:type="paragraph">
    <w:name w:val="Bibliography"/>
    <w:basedOn w:val="Normal"/>
    <w:next w:val="Bibliography"/>
    <w:qFormat/>
    <w:pPr/>
    <w:rPr>
      <w:rFonts w:ascii="Calibri" w:hAnsi="Calibri" w:eastAsia="宋体"/>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eastAsia="黑体"/>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eastAsia="黑体"/>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eastAsia="黑体"/>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eastAsia="黑体"/>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eastAsia="黑体"/>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eastAsia="黑体"/>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eastAsia="黑体"/>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eastAsia="黑体"/>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eastAsia="黑体"/>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eastAsia="宋体"/>
    </w:rPr>
  </w:style>
  <w:style w:styleId="FootnoteText" w:type="paragraph">
    <w:name w:val="Footnote Text"/>
    <w:basedOn w:val="Normal"/>
    <w:next w:val="FootnoteText"/>
    <w:uiPriority w:val="9"/>
    <w:unhideWhenUsed/>
    <w:qFormat/>
    <w:rPr>
      <w:rFonts w:ascii="Calibri" w:hAnsi="Calibri" w:eastAsia="宋体"/>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Calibri" w:hAnsi="Calibri" w:eastAsia="宋体"/>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eastAsia="宋体"/>
      <w:b/>
    </w:rPr>
  </w:style>
  <w:style w:customStyle="1" w:styleId="Definition" w:type="paragraph">
    <w:name w:val="Definition"/>
    <w:basedOn w:val="Normal"/>
    <w:rPr>
      <w:rFonts w:ascii="Calibri" w:hAnsi="Calibri" w:eastAsia="宋体"/>
    </w:rPr>
  </w:style>
  <w:style w:styleId="Caption" w:type="paragraph">
    <w:name w:val="Caption"/>
    <w:basedOn w:val="Normal"/>
    <w:link w:val="BodyTextChar"/>
    <w:pPr>
      <w:spacing w:after="120" w:before="0"/>
    </w:pPr>
    <w:rPr>
      <w:rFonts w:ascii="Calibri" w:hAnsi="Calibri" w:eastAsia="宋体"/>
      <w:i/>
    </w:rPr>
  </w:style>
  <w:style w:customStyle="1" w:styleId="TableCaption" w:type="paragraph">
    <w:name w:val="Table Caption"/>
    <w:basedOn w:val="Caption"/>
    <w:pPr>
      <w:keepNext/>
    </w:pPr>
    <w:rPr>
      <w:rFonts w:ascii="Calibri" w:hAnsi="Calibri" w:eastAsia="宋体"/>
    </w:rPr>
  </w:style>
  <w:style w:customStyle="1" w:styleId="ImageCaption" w:type="paragraph">
    <w:name w:val="Image Caption"/>
    <w:basedOn w:val="Caption"/>
    <w:rPr>
      <w:rFonts w:ascii="Calibri" w:hAnsi="Calibri" w:eastAsia="宋体"/>
    </w:rPr>
  </w:style>
  <w:style w:customStyle="1" w:styleId="Figure" w:type="paragraph">
    <w:name w:val="Figure"/>
    <w:basedOn w:val="Normal"/>
    <w:rPr>
      <w:rFonts w:ascii="Calibri" w:hAnsi="Calibri" w:eastAsia="宋体"/>
    </w:rPr>
  </w:style>
  <w:style w:customStyle="1" w:styleId="CaptionedFigure" w:type="paragraph">
    <w:name w:val="Captioned Figure"/>
    <w:basedOn w:val="Figure"/>
    <w:pPr>
      <w:keepNext/>
    </w:pPr>
    <w:rPr>
      <w:rFonts w:ascii="Calibri" w:hAnsi="Calibri" w:eastAsia="宋体"/>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eastAsia="黑体"/>
      <w:b w:val="0"/>
      <w:bCs w:val="0"/>
      <w:color w:themeColor="accent1" w:themeShade="BF" w:val="365F91"/>
    </w:rPr>
  </w:style>
  <w:style w:type="paragraph" w:customStyle="1" w:styleId="SourceCode">
    <w:name w:val="Source Code"/>
    <w:basedOn w:val="Normal"/>
    <w:link w:val="VerbatimChar"/>
    <w:pPr>
      <w:wordWrap w:val="off"/>
    </w:pPr>
    <w:rPr>
      <w:rFonts w:ascii="Calibri" w:hAnsi="Calibri" w:eastAsia="宋体"/>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2026-10-28T06:52:11Z</dcterms:created>
  <dcterms:modified xsi:type="dcterms:W3CDTF">2026-10-28T06:52:11Z</dcterms:modified>
</cp:coreProperties>
</file>

<file path=docProps/custom.xml><?xml version="1.0" encoding="utf-8"?>
<Properties xmlns="http://schemas.openxmlformats.org/officeDocument/2006/custom-properties" xmlns:vt="http://schemas.openxmlformats.org/officeDocument/2006/docPropsVTypes"/>
</file>