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星城数智科技有限公司商务信息与售后承诺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business_info</w:t>
      </w:r>
    </w:p>
    <w:p>
      <w:pPr>
        <w:pStyle w:val="Heading1"/>
      </w:pPr>
      <w:r>
        <w:t>商务响应要点</w:t>
      </w:r>
    </w:p>
    <w:p>
      <w:pPr>
        <w:pStyle w:val="ListBullet"/>
      </w:pPr>
      <w:r>
        <w:t>接受公开招标方式和 6 个月总工期要求。</w:t>
      </w:r>
    </w:p>
    <w:p>
      <w:pPr>
        <w:pStyle w:val="ListBullet"/>
      </w:pPr>
      <w:r>
        <w:t>提供项目经理、技术负责人、实施工程师、测试工程师和运维工程师组成的标准交付团队。</w:t>
      </w:r>
    </w:p>
    <w:p>
      <w:pPr>
        <w:pStyle w:val="ListBullet"/>
      </w:pPr>
      <w:r>
        <w:t>按要求提交技术方案、商务响应文件、报价文件和资格证明文件。</w:t>
      </w:r>
    </w:p>
    <w:p>
      <w:pPr>
        <w:pStyle w:val="Heading1"/>
      </w:pPr>
      <w:r>
        <w:t>售后服务</w:t>
      </w:r>
    </w:p>
    <w:p>
      <w:pPr>
        <w:pStyle w:val="ListBullet"/>
      </w:pPr>
      <w:r>
        <w:t>提供不少于 12 个月质保服务，重大故障 2 小时响应，24 小时内到场。</w:t>
      </w:r>
    </w:p>
    <w:p>
      <w:pPr>
        <w:pStyle w:val="ListBullet"/>
      </w:pPr>
      <w:r>
        <w:t>提供管理员、业务用户和运维人员三类培训材料与现场培训支持。</w:t>
      </w:r>
    </w:p>
    <w:p>
      <w:pPr>
        <w:pStyle w:val="ListBullet"/>
      </w:pPr>
      <w:r>
        <w:t>提供月度巡检、季度优化建议和年度系统健康检查。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