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智慧园区与园区安防项目案例集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project_cases</w:t>
      </w:r>
    </w:p>
    <w:p>
      <w:pPr>
        <w:pStyle w:val="Heading1"/>
      </w:pPr>
      <w:r>
        <w:t>案例一</w:t>
      </w:r>
    </w:p>
    <w:p>
      <w:pPr>
        <w:pStyle w:val="ListBullet"/>
      </w:pPr>
      <w:r>
        <w:t>嘉衡高新区智慧园区综合管理平台项目，合同金额 568 万元，建设周期 5.5 个月。</w:t>
      </w:r>
    </w:p>
    <w:p>
      <w:pPr>
        <w:pStyle w:val="ListBullet"/>
      </w:pPr>
      <w:r>
        <w:t>完成 680 路视频接入、42 个门禁通道联动、260 个能耗计量点监测。</w:t>
      </w:r>
    </w:p>
    <w:p>
      <w:pPr>
        <w:pStyle w:val="Heading1"/>
      </w:pPr>
      <w:r>
        <w:t>案例二</w:t>
      </w:r>
    </w:p>
    <w:p>
      <w:pPr>
        <w:pStyle w:val="ListBullet"/>
      </w:pPr>
      <w:r>
        <w:t>临港智能制造园区综合治理平台项目，合同金额 632 万元，建设周期 6 个月。</w:t>
      </w:r>
    </w:p>
    <w:p>
      <w:pPr>
        <w:pStyle w:val="ListBullet"/>
      </w:pPr>
      <w:r>
        <w:t>实现 9000+ 人员档案统一管理和 3500+ 车辆通行规则管理。</w:t>
      </w:r>
    </w:p>
    <w:p>
      <w:pPr>
        <w:pStyle w:val="Heading1"/>
      </w:pPr>
      <w:r>
        <w:t>可复用经验</w:t>
      </w:r>
    </w:p>
    <w:p>
      <w:pPr>
        <w:pStyle w:val="ListBullet"/>
      </w:pPr>
      <w:r>
        <w:t>园区平台项目的关键成功点是前期数据标准梳理、接口范围界定和分阶段上线。</w:t>
      </w:r>
    </w:p>
    <w:p>
      <w:pPr>
        <w:pStyle w:val="ListBullet"/>
      </w:pPr>
      <w:r>
        <w:t>对视频监控接入、能耗监测和人员车辆管理组合需求，统一平台底座更利于交付和运维。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