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智慧水务项目案例集</w:t>
      </w:r>
    </w:p>
    <w:p>
      <w:pPr>
        <w:jc w:val="center"/>
      </w:pPr>
      <w:r>
        <w:rPr>
          <w:rFonts w:ascii="Microsoft YaHei" w:hAnsi="Microsoft YaHei"/>
          <w:sz w:val="21"/>
        </w:rPr>
        <w:t>演示知识库资料 / category: project_cases</w:t>
      </w:r>
    </w:p>
    <w:p>
      <w:pPr>
        <w:pStyle w:val="Heading1"/>
      </w:pPr>
      <w:r>
        <w:t>案例一</w:t>
      </w:r>
    </w:p>
    <w:p>
      <w:pPr>
        <w:pStyle w:val="ListBullet"/>
      </w:pPr>
      <w:r>
        <w:t>江北新区智慧供水运行监测平台项目，合同金额 486 万元，建设周期 7 个月。</w:t>
      </w:r>
    </w:p>
    <w:p>
      <w:pPr>
        <w:pStyle w:val="ListBullet"/>
      </w:pPr>
      <w:r>
        <w:t>完成 12 座泵站、3 座水厂、180 个管网监测点和 420 路视频监控数据接入。</w:t>
      </w:r>
    </w:p>
    <w:p>
      <w:pPr>
        <w:pStyle w:val="Heading1"/>
      </w:pPr>
      <w:r>
        <w:t>案例二</w:t>
      </w:r>
    </w:p>
    <w:p>
      <w:pPr>
        <w:pStyle w:val="ListBullet"/>
      </w:pPr>
      <w:r>
        <w:t>临河县智慧水务综合调度平台项目，合同金额 528 万元，建设周期 8 个月。</w:t>
      </w:r>
    </w:p>
    <w:p>
      <w:pPr>
        <w:pStyle w:val="ListBullet"/>
      </w:pPr>
      <w:r>
        <w:t>实现管网监测、漏损分析、告警闭环和调度驾驶舱联动，覆盖 16 个乡镇供水区域。</w:t>
      </w:r>
    </w:p>
    <w:p>
      <w:pPr>
        <w:pStyle w:val="Heading1"/>
      </w:pPr>
      <w:r>
        <w:t>可复用经验</w:t>
      </w:r>
    </w:p>
    <w:p>
      <w:pPr>
        <w:pStyle w:val="ListBullet"/>
      </w:pPr>
      <w:r>
        <w:t>县域水务项目成功关键在于前期数据标准梳理、监测点位核查和接口边界定义。</w:t>
      </w:r>
    </w:p>
    <w:p>
      <w:pPr>
        <w:pStyle w:val="ListBullet"/>
      </w:pPr>
      <w:r>
        <w:t>对监测、预警、调度、报表组合需求，统一平台底座更利于交付、运维和后续扩展。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