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县域智慧水务运行监测与调度平台建设项目示例招标文件</w:t>
      </w:r>
    </w:p>
    <w:p>
      <w:pPr>
        <w:jc w:val="center"/>
      </w:pPr>
      <w:r>
        <w:rPr>
          <w:rFonts w:ascii="Microsoft YaHei" w:hAnsi="Microsoft YaHei"/>
          <w:sz w:val="21"/>
        </w:rPr>
        <w:t>演示上传文件 / 建议用于 tender 主链路</w:t>
      </w:r>
    </w:p>
    <w:p>
      <w:pPr>
        <w:pStyle w:val="Heading1"/>
      </w:pPr>
      <w:r>
        <w:t>项目基本信息</w:t>
      </w:r>
    </w:p>
    <w:p>
      <w:pPr>
        <w:pStyle w:val="ListBullet"/>
      </w:pPr>
      <w:r>
        <w:t>项目名称：县域智慧水务运行监测与调度平台建设项目。</w:t>
      </w:r>
    </w:p>
    <w:p>
      <w:pPr>
        <w:pStyle w:val="ListBullet"/>
      </w:pPr>
      <w:r>
        <w:t>项目编号：HL-SW-2026-03。</w:t>
      </w:r>
    </w:p>
    <w:p>
      <w:pPr>
        <w:pStyle w:val="ListBullet"/>
      </w:pPr>
      <w:r>
        <w:t>招标人：清源县水务局。</w:t>
      </w:r>
    </w:p>
    <w:p>
      <w:pPr>
        <w:pStyle w:val="ListBullet"/>
      </w:pPr>
      <w:r>
        <w:t>预算金额：人民币 518 万元。</w:t>
      </w:r>
    </w:p>
    <w:p>
      <w:pPr>
        <w:pStyle w:val="ListBullet"/>
      </w:pPr>
      <w:r>
        <w:t>建设周期：8 个月。</w:t>
      </w:r>
    </w:p>
    <w:p>
      <w:pPr>
        <w:pStyle w:val="Heading1"/>
      </w:pPr>
      <w:r>
        <w:t>建设范围</w:t>
      </w:r>
    </w:p>
    <w:p>
      <w:pPr>
        <w:pStyle w:val="ListBullet"/>
      </w:pPr>
      <w:r>
        <w:t>建设监测总览、泵站监测、水厂监测、管网监测、漏损分析、告警处置、调度指挥和报表统计模块。</w:t>
      </w:r>
    </w:p>
    <w:p>
      <w:pPr>
        <w:pStyle w:val="ListBullet"/>
      </w:pPr>
      <w:r>
        <w:t>接入泵站、水厂、管网监测点、视频监控和短信告警等数据源。</w:t>
      </w:r>
    </w:p>
    <w:p>
      <w:pPr>
        <w:pStyle w:val="ListBullet"/>
      </w:pPr>
      <w:r>
        <w:t>完成平台部署、数据治理、接口联调、培训、试运行和验收工作。</w:t>
      </w:r>
    </w:p>
    <w:p>
      <w:pPr>
        <w:pStyle w:val="Heading1"/>
      </w:pPr>
      <w:r>
        <w:t>主要技术要求</w:t>
      </w:r>
    </w:p>
    <w:p>
      <w:pPr>
        <w:pStyle w:val="ListBullet"/>
      </w:pPr>
      <w:r>
        <w:t>系统支持私有化部署，采用 B/S 架构，数据库使用 MySQL。</w:t>
      </w:r>
    </w:p>
    <w:p>
      <w:pPr>
        <w:pStyle w:val="ListBullet"/>
      </w:pPr>
      <w:r>
        <w:t>支持统一身份认证、操作日志审计、告警规则配置、权限分级和高可用部署。</w:t>
      </w:r>
    </w:p>
    <w:p>
      <w:pPr>
        <w:pStyle w:val="ListBullet"/>
      </w:pPr>
      <w:r>
        <w:t>支持与现有 GIS、SCADA、短信平台和视频监控系统对接。</w:t>
      </w:r>
    </w:p>
    <w:p>
      <w:pPr>
        <w:pStyle w:val="Heading1"/>
      </w:pPr>
      <w:r>
        <w:t>资格与评分要求</w:t>
      </w:r>
    </w:p>
    <w:p>
      <w:pPr>
        <w:pStyle w:val="ListBullet"/>
      </w:pPr>
      <w:r>
        <w:t>投标人须为独立法人，具备软件研发和系统集成能力。</w:t>
      </w:r>
    </w:p>
    <w:p>
      <w:pPr>
        <w:pStyle w:val="ListBullet"/>
      </w:pPr>
      <w:r>
        <w:t>近三年具有不少于 2 个智慧水务或行业监测平台类项目业绩。</w:t>
      </w:r>
    </w:p>
    <w:p>
      <w:pPr>
        <w:pStyle w:val="ListBullet"/>
      </w:pPr>
      <w:r>
        <w:t>评分权重：技术 60 分，商务 20 分，价格 20 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