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智能量化交易平台"/>
    <w:p>
      <w:pPr>
        <w:pStyle w:val="Heading1"/>
      </w:pPr>
      <w:r>
        <w:rPr>
          <w:rFonts w:hint="eastAsia"/>
        </w:rPr>
        <w:t xml:space="preserve">智能量化交易平台</w:t>
      </w:r>
    </w:p>
    <w:bookmarkStart w:id="9" w:name="数据中心数据源选型与接入规范"/>
    <w:p>
      <w:pPr>
        <w:pStyle w:val="Heading2"/>
      </w:pPr>
      <w:r>
        <w:rPr>
          <w:rFonts w:hint="eastAsia"/>
        </w:rPr>
        <w:t xml:space="preserve">数据中心数据源选型与接入规范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文档版本：</w:t>
      </w:r>
      <w:r>
        <w:t xml:space="preserve"> </w:t>
      </w:r>
      <w:r>
        <w:t xml:space="preserve">v1.0</w:t>
      </w:r>
    </w:p>
    <w:p>
      <w:pPr>
        <w:pStyle w:val="BodyText"/>
      </w:pPr>
      <w:r>
        <w:rPr>
          <w:rFonts w:hint="eastAsia"/>
          <w:b/>
          <w:bCs/>
        </w:rPr>
        <w:t xml:space="preserve">文档类型：</w:t>
      </w:r>
      <w:r>
        <w:t xml:space="preserve"> </w:t>
      </w:r>
      <w:r>
        <w:rPr>
          <w:rFonts w:hint="eastAsia"/>
        </w:rPr>
        <w:t xml:space="preserve">架构设计文档附录</w:t>
      </w:r>
    </w:p>
    <w:p>
      <w:pPr>
        <w:pStyle w:val="BodyText"/>
      </w:pPr>
      <w:r>
        <w:rPr>
          <w:rFonts w:hint="eastAsia"/>
          <w:b/>
          <w:bCs/>
        </w:rPr>
        <w:t xml:space="preserve">编制日期：</w:t>
      </w:r>
      <w:r>
        <w:t xml:space="preserve"> </w:t>
      </w:r>
      <w:r>
        <w:rPr>
          <w:rFonts w:hint="eastAsia"/>
        </w:rPr>
        <w:t xml:space="preserve">2026年9月</w:t>
      </w:r>
    </w:p>
    <w:p>
      <w:r>
        <w:pict>
          <v:rect style="width:0;height:1.5pt" o:hralign="center" o:hrstd="t" o:hr="t"/>
        </w:pict>
      </w:r>
    </w:p>
    <w:bookmarkEnd w:id="9"/>
    <w:bookmarkStart w:id="10" w:name="一概述"/>
    <w:p>
      <w:pPr>
        <w:pStyle w:val="Heading2"/>
      </w:pPr>
      <w:r>
        <w:rPr>
          <w:rFonts w:hint="eastAsia"/>
        </w:rPr>
        <w:t xml:space="preserve">一、概述</w:t>
      </w:r>
    </w:p>
    <w:p>
      <w:pPr>
        <w:pStyle w:val="FirstParagraph"/>
      </w:pPr>
      <w:r>
        <w:rPr>
          <w:rFonts w:hint="eastAsia"/>
        </w:rPr>
        <w:t xml:space="preserve">数据中心是整个量化交易平台的基石，其数据质量直接决定了上层策略研发、回测验证和实盘交易的可靠性。本规范旨在明确平台所需各类数据的来源选型、接入方式、存储策略和质量要求，为数据中心模块的开发实施提供依据。</w:t>
      </w:r>
    </w:p>
    <w:p>
      <w:pPr>
        <w:pStyle w:val="BodyText"/>
      </w:pPr>
      <w:r>
        <w:rPr>
          <w:rFonts w:hint="eastAsia"/>
        </w:rPr>
        <w:t xml:space="preserve">数据中心的”水源”直接决定了整个平台的天花板——垃圾进、垃圾出（Garbage</w:t>
      </w:r>
      <w:r>
        <w:t xml:space="preserve"> In, Garbage </w:t>
      </w:r>
      <w:r>
        <w:rPr>
          <w:rFonts w:hint="eastAsia"/>
        </w:rPr>
        <w:t xml:space="preserve">Out）。结合A股市场的实际情况，数据源分为行情数据、财务数据、指数与标的信息、另类数据四大类。</w:t>
      </w:r>
    </w:p>
    <w:p>
      <w:r>
        <w:pict>
          <v:rect style="width:0;height:1.5pt" o:hralign="center" o:hrstd="t" o:hr="t"/>
        </w:pict>
      </w:r>
    </w:p>
    <w:bookmarkEnd w:id="10"/>
    <w:bookmarkStart w:id="13" w:name="二行情数据源选型"/>
    <w:p>
      <w:pPr>
        <w:pStyle w:val="Heading2"/>
      </w:pPr>
      <w:r>
        <w:rPr>
          <w:rFonts w:hint="eastAsia"/>
        </w:rPr>
        <w:t xml:space="preserve">二、行情数据源选型</w:t>
      </w:r>
    </w:p>
    <w:p>
      <w:pPr>
        <w:pStyle w:val="FirstParagraph"/>
      </w:pPr>
      <w:r>
        <w:rPr>
          <w:rFonts w:hint="eastAsia"/>
        </w:rPr>
        <w:t xml:space="preserve">行情数据是量化策略研发和实盘交易最基础的数据支撑，涵盖日线、分钟线、Tick等多个频率级别。</w:t>
      </w:r>
    </w:p>
    <w:bookmarkStart w:id="11" w:name="免费开源数据源"/>
    <w:p>
      <w:pPr>
        <w:pStyle w:val="Heading3"/>
      </w:pPr>
      <w:r>
        <w:t xml:space="preserve">2.1 </w:t>
      </w:r>
      <w:r>
        <w:rPr>
          <w:rFonts w:hint="eastAsia"/>
        </w:rPr>
        <w:t xml:space="preserve">免费/开源数据源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AKShare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A股全市场、期货、期权、基金、债券、宏观经济指标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日线/分钟线/Tick（部分）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Python库，完全免费，社区活跃，数据更新及时，是量化个人开发者最常用的起点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Tushare（基础版）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A股全市场、指数、基金、期货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日线/分钟线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基础接口免费，积分制解锁高级接口（如分钟线需要积分）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Baostock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A股全市场（含退市股）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日线/周线/月线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完全免费，无需注册，数据质量较好，特别擅长历史复权数据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Yahoo </w:t>
            </w:r>
            <w:r>
              <w:rPr>
                <w:rFonts w:hint="eastAsia"/>
              </w:rPr>
              <w:t xml:space="preserve">Finance（yfinance）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港股、美股、部分A股ETF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日线/分钟线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国际通用，但A股覆盖有限，数据稳定性一般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MVP阶段用</w:t>
      </w:r>
      <w:r>
        <w:t xml:space="preserve"> AKShare + Baostock </w:t>
      </w:r>
      <w:r>
        <w:rPr>
          <w:rFonts w:hint="eastAsia"/>
        </w:rPr>
        <w:t xml:space="preserve">组合即可覆盖日线级别回测需求。AKShare获取实时和最新数据，Baostock补齐历史复权数据。</w:t>
      </w:r>
    </w:p>
    <w:bookmarkEnd w:id="11"/>
    <w:bookmarkStart w:id="12" w:name="付费专业数据源"/>
    <w:p>
      <w:pPr>
        <w:pStyle w:val="Heading3"/>
      </w:pPr>
      <w:r>
        <w:t xml:space="preserve">2.2 </w:t>
      </w:r>
      <w:r>
        <w:rPr>
          <w:rFonts w:hint="eastAsia"/>
        </w:rPr>
        <w:t xml:space="preserve">付费专业数据源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397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Wind（万得）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A股/港股/美股/期货/期权/债券/基金/宏观，Tick级数据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业界标杆，数据质量最高，API完善，但价格昂贵（机构版年费数万起）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实盘阶段/机构级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同花顺iFinD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全市场覆盖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性价比优于Wind，API易用，研报数据丰富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个人进阶/小团队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东方财富Choice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全市场覆盖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价格相对便宜，数据全面，适合个人和中小团队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MVP验证后/小团队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通联数据（DataYes）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A股为主，另类数据丰富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专注量化场景，因子数据开箱即用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策略研发阶段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聚宽（JoinQuant）/</w:t>
            </w:r>
            <w:r>
              <w:t xml:space="preserve"> </w:t>
            </w:r>
            <w:r>
              <w:rPr>
                <w:rFonts w:hint="eastAsia"/>
              </w:rPr>
              <w:t xml:space="preserve">米筐（RiceQuant）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在线回测平台，内置数据+研究环境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快速原型验证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策略从回测迁移到模拟盘/实盘时，建议切换到</w:t>
      </w:r>
      <w:r>
        <w:t xml:space="preserve"> iFinD </w:t>
      </w:r>
      <w:r>
        <w:rPr>
          <w:rFonts w:hint="eastAsia"/>
        </w:rPr>
        <w:t xml:space="preserve">或</w:t>
      </w:r>
      <w:r>
        <w:t xml:space="preserve"> Choice </w:t>
      </w:r>
      <w:r>
        <w:rPr>
          <w:rFonts w:hint="eastAsia"/>
        </w:rPr>
        <w:t xml:space="preserve">作为主数据源，数据质量和时效性更有保障。Wind适合预算充足的团队。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三财务数据来源"/>
    <w:p>
      <w:pPr>
        <w:pStyle w:val="Heading2"/>
      </w:pPr>
      <w:r>
        <w:rPr>
          <w:rFonts w:hint="eastAsia"/>
        </w:rPr>
        <w:t xml:space="preserve">三、财务数据来源</w:t>
      </w:r>
    </w:p>
    <w:p>
      <w:pPr>
        <w:pStyle w:val="FirstParagraph"/>
      </w:pPr>
      <w:r>
        <w:rPr>
          <w:rFonts w:hint="eastAsia"/>
        </w:rPr>
        <w:t xml:space="preserve">财务数据的核心难点在于披露时间——财报的”截止日期”和”实际披露日期”是两个完全不同的概念，用错就会导致未来函数。</w:t>
      </w:r>
    </w:p>
    <w:bookmarkStart w:id="14" w:name="数据源对比"/>
    <w:p>
      <w:pPr>
        <w:pStyle w:val="Heading3"/>
      </w:pPr>
      <w:r>
        <w:t xml:space="preserve">3.1 </w:t>
      </w:r>
      <w:r>
        <w:rPr>
          <w:rFonts w:hint="eastAsia"/>
        </w:rPr>
        <w:t xml:space="preserve">数据源对比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巨潮资讯网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上市公司年报、季报、公告原文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免费，可爬虫获取，但非结构化文本需要清洗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东方财富网-财务数据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资产负债表、利润表、现金流量表、关键财务指标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免费API接口，结构化好，更新及时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同花顺iFinD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标准化财务数据+调整项+行业对比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付费，但财务数据清洗程度高，直接可用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最全的财务数据库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付费，机构标配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AKShare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东方财富财务数据接口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免费，封装了东方财富的财务数据</w:t>
            </w:r>
          </w:p>
        </w:tc>
      </w:tr>
    </w:tbl>
    <w:bookmarkEnd w:id="14"/>
    <w:bookmarkStart w:id="15" w:name="关键设计要点"/>
    <w:p>
      <w:pPr>
        <w:pStyle w:val="Heading3"/>
      </w:pPr>
      <w:r>
        <w:t xml:space="preserve">3.2 </w:t>
      </w:r>
      <w:r>
        <w:rPr>
          <w:rFonts w:hint="eastAsia"/>
        </w:rPr>
        <w:t xml:space="preserve">关键设计要点</w:t>
      </w:r>
    </w:p>
    <w:p>
      <w:pPr>
        <w:pStyle w:val="FirstParagraph"/>
      </w:pPr>
      <w:r>
        <w:rPr>
          <w:rFonts w:hint="eastAsia"/>
        </w:rPr>
        <w:t xml:space="preserve">所有财务数据必须携带</w:t>
      </w:r>
      <w:r>
        <w:rPr>
          <w:rFonts w:hint="eastAsia"/>
          <w:b/>
          <w:bCs/>
        </w:rPr>
        <w:t xml:space="preserve">披露日期（Announcement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Date）</w:t>
      </w:r>
      <w:r>
        <w:rPr>
          <w:rFonts w:hint="eastAsia"/>
        </w:rPr>
        <w:t xml:space="preserve">字段，回测时只能使用”截至当日已披露”的财报数据。例如，2025年Q3财报通常在2026年4月披露，那么在2026年1月1日的回测中，最新可用财报应该是2025年Q2的。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四指数成分股与标的信息"/>
    <w:p>
      <w:pPr>
        <w:pStyle w:val="Heading2"/>
      </w:pPr>
      <w:r>
        <w:rPr>
          <w:rFonts w:hint="eastAsia"/>
        </w:rPr>
        <w:t xml:space="preserve">四、指数成分股与标的信息</w:t>
      </w:r>
    </w:p>
    <w:p>
      <w:pPr>
        <w:pStyle w:val="FirstParagraph"/>
      </w:pPr>
      <w:r>
        <w:rPr>
          <w:rFonts w:hint="eastAsia"/>
        </w:rPr>
        <w:t xml:space="preserve">指数成分股数据用于构建股票池、进行风格分析和收益归因，其准确性直接影响策略的可信度。</w:t>
      </w:r>
    </w:p>
    <w:bookmarkStart w:id="17" w:name="数据源对比-1"/>
    <w:p>
      <w:pPr>
        <w:pStyle w:val="Heading3"/>
      </w:pPr>
      <w:r>
        <w:t xml:space="preserve">4.1 </w:t>
      </w:r>
      <w:r>
        <w:rPr>
          <w:rFonts w:hint="eastAsia"/>
        </w:rPr>
        <w:t xml:space="preserve">数据源对比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中证指数官网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沪深300、中证500、中证1000等成分股调整公告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免费，但需要手动下载历史调整记录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东方财富网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指数成分股、行业分类、概念板块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免费API，可获取历史调仓信息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AKShare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指数成分股历史变更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免费，封装了多个数据源的成分股变更数据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Wind/iFinD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完整的Point-in-Time成分股历史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付费，但PIT数据开箱即用，强烈推荐</w:t>
            </w:r>
          </w:p>
        </w:tc>
      </w:tr>
    </w:tbl>
    <w:bookmarkEnd w:id="17"/>
    <w:bookmarkStart w:id="18" w:name="核心要求"/>
    <w:p>
      <w:pPr>
        <w:pStyle w:val="Heading3"/>
      </w:pPr>
      <w:r>
        <w:t xml:space="preserve">4.2 </w:t>
      </w:r>
      <w:r>
        <w:rPr>
          <w:rFonts w:hint="eastAsia"/>
        </w:rPr>
        <w:t xml:space="preserve">核心要求</w:t>
      </w:r>
    </w:p>
    <w:p>
      <w:pPr>
        <w:pStyle w:val="FirstParagraph"/>
      </w:pPr>
      <w:r>
        <w:rPr>
          <w:rFonts w:hint="eastAsia"/>
        </w:rPr>
        <w:t xml:space="preserve">必须维护</w:t>
      </w:r>
      <w:r>
        <w:rPr>
          <w:rFonts w:hint="eastAsia"/>
          <w:b/>
          <w:bCs/>
        </w:rPr>
        <w:t xml:space="preserve">Point-in-Time（PIT）快照</w:t>
      </w:r>
      <w:r>
        <w:rPr>
          <w:rFonts w:hint="eastAsia"/>
        </w:rPr>
        <w:t xml:space="preserve">——即”在2025年6月30日这一天，沪深300到底包含哪些股票”。不能用当前的成分股名单去回测历史，否则就是严重的幸存者偏差。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五另类数据来源"/>
    <w:p>
      <w:pPr>
        <w:pStyle w:val="Heading2"/>
      </w:pPr>
      <w:r>
        <w:rPr>
          <w:rFonts w:hint="eastAsia"/>
        </w:rPr>
        <w:t xml:space="preserve">五、另类数据来源</w:t>
      </w:r>
    </w:p>
    <w:p>
      <w:pPr>
        <w:pStyle w:val="FirstParagraph"/>
      </w:pPr>
      <w:r>
        <w:rPr>
          <w:rFonts w:hint="eastAsia"/>
        </w:rPr>
        <w:t xml:space="preserve">另类数据是量化策略获取超额收益的重要来源，但在MVP阶段并非必需，建议放在进化版阶段接入。</w:t>
      </w:r>
    </w:p>
    <w:bookmarkStart w:id="20" w:name="另类数据类型"/>
    <w:p>
      <w:pPr>
        <w:pStyle w:val="Heading3"/>
      </w:pPr>
      <w:r>
        <w:t xml:space="preserve">5.1 </w:t>
      </w:r>
      <w:r>
        <w:rPr>
          <w:rFonts w:hint="eastAsia"/>
        </w:rPr>
        <w:t xml:space="preserve">另类数据类型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新闻舆情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新浪财经/东方财富新闻API、爬虫抓取财联社电报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市场情绪分析、事件驱动策略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社交媒体情绪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东方财富股吧、雪球、微博财经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散户情绪指标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龙虎榜数据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东方财富API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主力资金动向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北向资金流向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东方财富/同花顺API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外资动向监控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融资融券数据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交易所官网、东方财富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杠杆资金情绪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供应链/产业链数据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国家统计局、各行业行业协会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宏观经济验证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卫星/遥感数据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商业卫星数据服务商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工厂开工率、港口吞吐量等（高端另类数据）</w:t>
            </w:r>
          </w:p>
        </w:tc>
      </w:tr>
    </w:tbl>
    <w:bookmarkEnd w:id="20"/>
    <w:bookmarkStart w:id="21" w:name="接入建议"/>
    <w:p>
      <w:pPr>
        <w:pStyle w:val="Heading3"/>
      </w:pPr>
      <w:r>
        <w:t xml:space="preserve">5.2 </w:t>
      </w:r>
      <w:r>
        <w:rPr>
          <w:rFonts w:hint="eastAsia"/>
        </w:rPr>
        <w:t xml:space="preserve">接入建议</w:t>
      </w:r>
    </w:p>
    <w:p>
      <w:pPr>
        <w:pStyle w:val="FirstParagraph"/>
      </w:pPr>
      <w:r>
        <w:rPr>
          <w:rFonts w:hint="eastAsia"/>
        </w:rPr>
        <w:t xml:space="preserve">MVP阶段不需要另类数据，先把结构化数据（行情+财务）的管道跑通。另类数据接入放在进化版阶段，因为清洗成本高、信号稳定性需要长期验证。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六数据中心架构建议"/>
    <w:p>
      <w:pPr>
        <w:pStyle w:val="Heading2"/>
      </w:pPr>
      <w:r>
        <w:rPr>
          <w:rFonts w:hint="eastAsia"/>
        </w:rPr>
        <w:t xml:space="preserve">六、数据中心架构建议</w:t>
      </w:r>
    </w:p>
    <w:p>
      <w:pPr>
        <w:pStyle w:val="FirstParagraph"/>
      </w:pPr>
      <w:r>
        <w:rPr>
          <w:rFonts w:hint="eastAsia"/>
        </w:rPr>
        <w:t xml:space="preserve">结合上述数据源，建议数据中心采用</w:t>
      </w:r>
      <w:r>
        <w:rPr>
          <w:rFonts w:hint="eastAsia"/>
          <w:b/>
          <w:bCs/>
        </w:rPr>
        <w:t xml:space="preserve">多源冗余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分层存储</w:t>
      </w:r>
      <w:r>
        <w:rPr>
          <w:rFonts w:hint="eastAsia"/>
        </w:rPr>
        <w:t xml:space="preserve">的架构。</w:t>
      </w:r>
    </w:p>
    <w:bookmarkStart w:id="23" w:name="架构分层"/>
    <w:p>
      <w:pPr>
        <w:pStyle w:val="Heading3"/>
      </w:pPr>
      <w:r>
        <w:t xml:space="preserve">6.1 </w:t>
      </w:r>
      <w:r>
        <w:rPr>
          <w:rFonts w:hint="eastAsia"/>
        </w:rPr>
        <w:t xml:space="preserve">架构分层</w:t>
      </w:r>
    </w:p>
    <w:p>
      <w:pPr>
        <w:pStyle w:val="FirstParagraph"/>
      </w:pPr>
      <w:r>
        <w:rPr>
          <w:rFonts w:hint="eastAsia"/>
          <w:b/>
          <w:bCs/>
        </w:rPr>
        <w:t xml:space="preserve">数据接入层：</w:t>
      </w:r>
    </w:p>
    <w:p>
      <w:pPr>
        <w:pStyle w:val="Compact"/>
        <w:numPr>
          <w:ilvl w:val="0"/>
          <w:numId w:val="1001"/>
        </w:numPr>
      </w:pPr>
      <w:r>
        <w:t xml:space="preserve">AKShare/Baostock </w:t>
      </w:r>
      <w:r>
        <w:rPr>
          <w:rFonts w:hint="eastAsia"/>
        </w:rPr>
        <w:t xml:space="preserve">接入</w:t>
      </w:r>
    </w:p>
    <w:p>
      <w:pPr>
        <w:pStyle w:val="Compact"/>
        <w:numPr>
          <w:ilvl w:val="0"/>
          <w:numId w:val="1001"/>
        </w:numPr>
      </w:pPr>
      <w:r>
        <w:t xml:space="preserve">iFinD/Choice </w:t>
      </w:r>
      <w:r>
        <w:rPr>
          <w:rFonts w:hint="eastAsia"/>
        </w:rPr>
        <w:t xml:space="preserve">接入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爬虫/API</w:t>
      </w:r>
      <w:r>
        <w:t xml:space="preserve"> </w:t>
      </w:r>
      <w:r>
        <w:rPr>
          <w:rFonts w:hint="eastAsia"/>
        </w:rPr>
        <w:t xml:space="preserve">接入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统一数据清洗管道</w:t>
      </w:r>
    </w:p>
    <w:p>
      <w:pPr>
        <w:pStyle w:val="FirstParagraph"/>
      </w:pPr>
      <w:r>
        <w:rPr>
          <w:rFonts w:hint="eastAsia"/>
          <w:b/>
          <w:bCs/>
        </w:rPr>
        <w:t xml:space="preserve">数据存储层：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时序数据库（InfluxDB/TimescaleDB）：存储行情Tick/分钟线/日线数据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关系型数据库（MySQL/PostgreSQL）：存储财务数据、股票基本信息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对象存储（S3/MinIO）：存储公告原文、研报PDF等非结构化数据</w:t>
      </w:r>
    </w:p>
    <w:p>
      <w:pPr>
        <w:pStyle w:val="FirstParagraph"/>
      </w:pPr>
      <w:r>
        <w:rPr>
          <w:rFonts w:hint="eastAsia"/>
          <w:b/>
          <w:bCs/>
        </w:rPr>
        <w:t xml:space="preserve">数据服务层：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统一DataFeed接口，供策略/回测/实盘共用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时间旅行查询（获取某日可见的数据快照）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前向填充/后向填充策略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复权计算（后复权为主）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数据质量监控（缺失值检测、异常值告警）</w:t>
      </w:r>
    </w:p>
    <w:bookmarkEnd w:id="23"/>
    <w:bookmarkStart w:id="24" w:name="环境隔离"/>
    <w:p>
      <w:pPr>
        <w:pStyle w:val="Heading3"/>
      </w:pPr>
      <w:r>
        <w:t xml:space="preserve">6.2 </w:t>
      </w:r>
      <w:r>
        <w:rPr>
          <w:rFonts w:hint="eastAsia"/>
        </w:rPr>
        <w:t xml:space="preserve">环境隔离</w:t>
      </w:r>
    </w:p>
    <w:p>
      <w:pPr>
        <w:pStyle w:val="SourceCode"/>
      </w:pPr>
      <w:r>
        <w:rPr>
          <w:rStyle w:val="VerbatimChar"/>
          <w:rFonts w:hint="eastAsia"/>
        </w:rPr>
        <w:t xml:space="preserve">生产环境：实盘数据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实盘交易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风控执行</w:t>
      </w:r>
      <w:r>
        <w:br/>
      </w:r>
      <w:r>
        <w:rPr>
          <w:rStyle w:val="VerbatimChar"/>
          <w:rFonts w:hint="eastAsia"/>
        </w:rPr>
        <w:t xml:space="preserve">模拟环境：实时数据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模拟交易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策略验证</w:t>
      </w:r>
      <w:r>
        <w:br/>
      </w:r>
      <w:r>
        <w:rPr>
          <w:rStyle w:val="VerbatimChar"/>
          <w:rFonts w:hint="eastAsia"/>
        </w:rPr>
        <w:t xml:space="preserve">研究环境：历史数据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回测实验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Agent研发</w:t>
      </w:r>
    </w:p>
    <w:p>
      <w:pPr>
        <w:pStyle w:val="FirstParagraph"/>
      </w:pPr>
      <w:r>
        <w:rPr>
          <w:rFonts w:hint="eastAsia"/>
        </w:rPr>
        <w:t xml:space="preserve">三个环境数据隔离，研究环境的数据污染不能影响生产。研究环境的回测结果不能直接写入生产数据库。策略从研究到模拟到生产，必须经过明确的晋级流程。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七数据规范"/>
    <w:p>
      <w:pPr>
        <w:pStyle w:val="Heading2"/>
      </w:pPr>
      <w:r>
        <w:rPr>
          <w:rFonts w:hint="eastAsia"/>
        </w:rPr>
        <w:t xml:space="preserve">七、数据规范</w:t>
      </w:r>
    </w:p>
    <w:p>
      <w:pPr>
        <w:pStyle w:val="FirstParagraph"/>
      </w:pPr>
      <w:r>
        <w:rPr>
          <w:rFonts w:hint="eastAsia"/>
        </w:rPr>
        <w:t xml:space="preserve">为确保数据质量和一致性，需提前定义以下数据规范。</w:t>
      </w:r>
    </w:p>
    <w:bookmarkStart w:id="26" w:name="时间戳统一"/>
    <w:p>
      <w:pPr>
        <w:pStyle w:val="Heading3"/>
      </w:pPr>
      <w:r>
        <w:t xml:space="preserve">7.1 </w:t>
      </w:r>
      <w:r>
        <w:rPr>
          <w:rFonts w:hint="eastAsia"/>
        </w:rPr>
        <w:t xml:space="preserve">时间戳统一</w:t>
      </w:r>
    </w:p>
    <w:p>
      <w:pPr>
        <w:pStyle w:val="FirstParagraph"/>
      </w:pPr>
      <w:r>
        <w:rPr>
          <w:rFonts w:hint="eastAsia"/>
        </w:rPr>
        <w:t xml:space="preserve">所有数据统一使用</w:t>
      </w:r>
      <w:r>
        <w:t xml:space="preserve"> UTC+8 </w:t>
      </w:r>
      <w:r>
        <w:rPr>
          <w:rFonts w:hint="eastAsia"/>
        </w:rPr>
        <w:t xml:space="preserve">的交易日时间戳，去掉非交易日。</w:t>
      </w:r>
    </w:p>
    <w:bookmarkEnd w:id="26"/>
    <w:bookmarkStart w:id="27" w:name="复权方式统一"/>
    <w:p>
      <w:pPr>
        <w:pStyle w:val="Heading3"/>
      </w:pPr>
      <w:r>
        <w:t xml:space="preserve">7.2 </w:t>
      </w:r>
      <w:r>
        <w:rPr>
          <w:rFonts w:hint="eastAsia"/>
        </w:rPr>
        <w:t xml:space="preserve">复权方式统一</w:t>
      </w:r>
    </w:p>
    <w:p>
      <w:pPr>
        <w:pStyle w:val="FirstParagraph"/>
      </w:pPr>
      <w:r>
        <w:rPr>
          <w:rFonts w:hint="eastAsia"/>
        </w:rPr>
        <w:t xml:space="preserve">回测统一用</w:t>
      </w:r>
      <w:r>
        <w:rPr>
          <w:rFonts w:hint="eastAsia"/>
          <w:b/>
          <w:bCs/>
        </w:rPr>
        <w:t xml:space="preserve">后复权</w:t>
      </w:r>
      <w:r>
        <w:rPr>
          <w:rFonts w:hint="eastAsia"/>
        </w:rPr>
        <w:t xml:space="preserve">（避免前复权引入未来信息），实盘用不复权价格。</w:t>
      </w:r>
    </w:p>
    <w:bookmarkEnd w:id="27"/>
    <w:bookmarkStart w:id="28" w:name="数据版本管理"/>
    <w:p>
      <w:pPr>
        <w:pStyle w:val="Heading3"/>
      </w:pPr>
      <w:r>
        <w:t xml:space="preserve">7.3 </w:t>
      </w:r>
      <w:r>
        <w:rPr>
          <w:rFonts w:hint="eastAsia"/>
        </w:rPr>
        <w:t xml:space="preserve">数据版本管理</w:t>
      </w:r>
    </w:p>
    <w:p>
      <w:pPr>
        <w:pStyle w:val="FirstParagraph"/>
      </w:pPr>
      <w:r>
        <w:rPr>
          <w:rFonts w:hint="eastAsia"/>
        </w:rPr>
        <w:t xml:space="preserve">每次数据更新打版本号（如</w:t>
      </w:r>
      <w:r>
        <w:t xml:space="preserve"> </w:t>
      </w:r>
      <w:r>
        <w:rPr>
          <w:rFonts w:hint="eastAsia"/>
        </w:rPr>
        <w:t xml:space="preserve">v2026.09.23），回测结果必须绑定数据版本号，确保任何收益都能完整复现。</w:t>
      </w:r>
    </w:p>
    <w:bookmarkEnd w:id="28"/>
    <w:bookmarkStart w:id="29" w:name="缺失值处理策略"/>
    <w:p>
      <w:pPr>
        <w:pStyle w:val="Heading3"/>
      </w:pPr>
      <w:r>
        <w:t xml:space="preserve">7.4 </w:t>
      </w:r>
      <w:r>
        <w:rPr>
          <w:rFonts w:hint="eastAsia"/>
        </w:rPr>
        <w:t xml:space="preserve">缺失值处理策略</w:t>
      </w:r>
    </w:p>
    <w:p>
      <w:pPr>
        <w:pStyle w:val="FirstParagraph"/>
      </w:pPr>
      <w:r>
        <w:rPr>
          <w:rFonts w:hint="eastAsia"/>
        </w:rPr>
        <w:t xml:space="preserve">提前定义好缺失值的填充规则（前向填充</w:t>
      </w:r>
      <w:r>
        <w:t xml:space="preserve"> FFill </w:t>
      </w:r>
      <w:r>
        <w:rPr>
          <w:rFonts w:hint="eastAsia"/>
        </w:rPr>
        <w:t xml:space="preserve">还是后向填充</w:t>
      </w:r>
      <w:r>
        <w:t xml:space="preserve"> </w:t>
      </w:r>
      <w:r>
        <w:rPr>
          <w:rFonts w:hint="eastAsia"/>
        </w:rPr>
        <w:t xml:space="preserve">BFill），并在接口文档中明确。</w:t>
      </w:r>
    </w:p>
    <w:bookmarkEnd w:id="29"/>
    <w:bookmarkStart w:id="30" w:name="数据质量监控"/>
    <w:p>
      <w:pPr>
        <w:pStyle w:val="Heading3"/>
      </w:pPr>
      <w:r>
        <w:t xml:space="preserve">7.5 </w:t>
      </w:r>
      <w:r>
        <w:rPr>
          <w:rFonts w:hint="eastAsia"/>
        </w:rPr>
        <w:t xml:space="preserve">数据质量监控</w:t>
      </w:r>
    </w:p>
    <w:p>
      <w:pPr>
        <w:pStyle w:val="FirstParagraph"/>
      </w:pPr>
      <w:r>
        <w:rPr>
          <w:rFonts w:hint="eastAsia"/>
        </w:rPr>
        <w:t xml:space="preserve">每日数据入库后自动运行完整性检查，包括：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停牌股标记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涨跌停标记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异常成交量告警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数据缺失率统计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八mvp阶段数据源务实建议"/>
    <w:p>
      <w:pPr>
        <w:pStyle w:val="Heading2"/>
      </w:pPr>
      <w:r>
        <w:rPr>
          <w:rFonts w:hint="eastAsia"/>
        </w:rPr>
        <w:t xml:space="preserve">八、MVP阶段数据源务实建议</w:t>
      </w:r>
    </w:p>
    <w:p>
      <w:pPr>
        <w:pStyle w:val="FirstParagraph"/>
      </w:pPr>
      <w:r>
        <w:rPr>
          <w:rFonts w:hint="eastAsia"/>
        </w:rPr>
        <w:t xml:space="preserve">如果预算有限、追求快速启动，建议的数据源组合如下：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22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行情数据（日线）</w:t>
            </w:r>
          </w:p>
        </w:tc>
        <w:tc>
          <w:tcPr/>
          <w:p>
            <w:pPr>
              <w:pStyle w:val="Compact"/>
            </w:pPr>
            <w:r>
              <w:t xml:space="preserve">AKShare</w:t>
            </w:r>
          </w:p>
        </w:tc>
        <w:tc>
          <w:tcPr/>
          <w:p>
            <w:pPr>
              <w:pStyle w:val="Compact"/>
            </w:pPr>
            <w:r>
              <w:t xml:space="preserve">Baostock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行情数据（分钟线）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AKShare（部分免费）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Tushare（积分解锁）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免费/低门槛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AKShare（东方财富源）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东方财富API直调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指数成分股</w:t>
            </w:r>
          </w:p>
        </w:tc>
        <w:tc>
          <w:tcPr/>
          <w:p>
            <w:pPr>
              <w:pStyle w:val="Compact"/>
            </w:pPr>
            <w:r>
              <w:t xml:space="preserve">AKShare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中证指数官网手动更新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公告/新闻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东方财富API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爬虫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总成本：0元。</w:t>
      </w:r>
      <w:r>
        <w:t xml:space="preserve"> </w:t>
      </w:r>
      <w:r>
        <w:rPr>
          <w:rFonts w:hint="eastAsia"/>
        </w:rPr>
        <w:t xml:space="preserve">这套组合足以支撑从策略研发到回测验证的完整链路。等策略跑通、准备上模拟盘/实盘时，再考虑升级到付费数据源提升数据质量和时效性。</w:t>
      </w:r>
    </w:p>
    <w:p>
      <w:r>
        <w:pict>
          <v:rect style="width:0;height:1.5pt" o:hralign="center" o:hrstd="t" o:hr="t"/>
        </w:pict>
      </w:r>
    </w:p>
    <w:bookmarkEnd w:id="32"/>
    <w:bookmarkStart w:id="33" w:name="九数据源升级路径"/>
    <w:p>
      <w:pPr>
        <w:pStyle w:val="Heading2"/>
      </w:pPr>
      <w:r>
        <w:rPr>
          <w:rFonts w:hint="eastAsia"/>
        </w:rPr>
        <w:t xml:space="preserve">九、数据源升级路径</w:t>
      </w:r>
    </w:p>
    <w:p>
      <w:pPr>
        <w:pStyle w:val="FirstParagraph"/>
      </w:pPr>
      <w:r>
        <w:rPr>
          <w:rFonts w:hint="eastAsia"/>
        </w:rPr>
        <w:t xml:space="preserve">随着平台从MVP阶段逐步演进到完善版和进化版，数据源也应相应升级：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重点投入方向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MVP（2-4周）</w:t>
            </w:r>
          </w:p>
        </w:tc>
        <w:tc>
          <w:tcPr/>
          <w:p>
            <w:pPr>
              <w:pStyle w:val="Compact"/>
            </w:pPr>
            <w:r>
              <w:t xml:space="preserve">AKShare + Baostock </w:t>
            </w:r>
            <w:r>
              <w:rPr>
                <w:rFonts w:hint="eastAsia"/>
              </w:rPr>
              <w:t xml:space="preserve">免费组合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跑通数据管道，验证回测流程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完善版（+1-2月）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引入iFinD/Choice付费数据源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提升数据质量和时效性，接入分钟线数据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进化版（+2-4月）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多源冗余架构，引入另类数据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另类数据接入，数据质量监控体系完善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十风险与应对"/>
    <w:p>
      <w:pPr>
        <w:pStyle w:val="Heading2"/>
      </w:pPr>
      <w:r>
        <w:rPr>
          <w:rFonts w:hint="eastAsia"/>
        </w:rPr>
        <w:t xml:space="preserve">十、风险与应对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免费数据源接口变更或失效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数据接入中断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多源冗余设计，关键数据源准备备选方案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付费数据源价格上调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成本超预算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提前评估ROI，优先投入高价值数据源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数据质量不达标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回测虚高，实盘亏损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建立数据质量监控体系，入库前强制校验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确保数据源授权合法，遵守数据使用协议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未来函数/数据泄露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回测虚高，实盘亏损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严格的数据隔离、PIT数据管理、前视偏差检测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附录数据源接口对接清单"/>
    <w:p>
      <w:pPr>
        <w:pStyle w:val="Heading2"/>
      </w:pPr>
      <w:r>
        <w:rPr>
          <w:rFonts w:hint="eastAsia"/>
        </w:rPr>
        <w:t xml:space="preserve">附录：数据源接口对接清单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行情数据</w:t>
            </w:r>
          </w:p>
        </w:tc>
        <w:tc>
          <w:tcPr/>
          <w:p>
            <w:pPr>
              <w:pStyle w:val="Compact"/>
            </w:pPr>
            <w:r>
              <w:t xml:space="preserve">AKShare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Python库调用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行情数据</w:t>
            </w:r>
          </w:p>
        </w:tc>
        <w:tc>
          <w:tcPr/>
          <w:p>
            <w:pPr>
              <w:pStyle w:val="Compact"/>
            </w:pPr>
            <w:r>
              <w:t xml:space="preserve">Baostock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Python库调用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AKShare（东方财富源）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Python库调用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指数成分股</w:t>
            </w:r>
          </w:p>
        </w:tc>
        <w:tc>
          <w:tcPr/>
          <w:p>
            <w:pPr>
              <w:pStyle w:val="Compact"/>
            </w:pPr>
            <w:r>
              <w:t xml:space="preserve">AKShare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Python库调用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实时行情</w:t>
            </w:r>
          </w:p>
        </w:tc>
        <w:tc>
          <w:tcPr/>
          <w:p>
            <w:pPr>
              <w:pStyle w:val="Compact"/>
            </w:pPr>
            <w:r>
              <w:t xml:space="preserve">iFinD/Choice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P1（完善版）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新闻舆情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东方财富API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P2（进化版）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另类数据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多方源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P2（进化版）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规划中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2026-09-23T05:19:11Z</dcterms:created>
  <dcterms:modified xsi:type="dcterms:W3CDTF">2026-09-23T05:19:11Z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