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Week 1 Platform Business Brief</w:t>
      </w:r>
    </w:p>
    <w:p>
      <w:r>
        <w:t>InGen Dynamics US Commercial Assessment</w:t>
      </w:r>
    </w:p>
    <w:p>
      <w:r>
        <w:t>Prepared by Yufei Li | Updated 27 October 2026</w:t>
      </w:r>
    </w:p>
    <w:p>
      <w:r>
        <w:t>Initial view: investigate Sentinel first for a near-term US offer; retain Rover as the primary hardware case, subject to readiness. The five profiles below distinguish buyers, users, existing alternatives and adoption barriers.</w:t>
      </w:r>
    </w:p>
    <w:p>
      <w:r>
        <w:t>Buyer budgets, purchase triggers and proposed terms are working hypotheses. Budget categories indicate possible funding sources; amounts and purchasing authority require validation. The assumptions register holds the validation tests.</w:t>
      </w:r>
    </w:p>
    <w:p>
      <w:pPr>
        <w:pStyle w:val="Heading1"/>
        <w:keepNext/>
      </w:pPr>
      <w:r>
        <w:rPr>
          <w:color w:val="000000"/>
        </w:rPr>
        <w:t>Aido Rover</w:t>
      </w:r>
    </w:p>
    <w:p>
      <w:r>
        <w:t>Programme role: primary hardware analysis target. Public status: research stage (InGen website).</w:t>
      </w:r>
    </w:p>
    <w:p>
      <w:pPr>
        <w:pStyle w:val="Heading2"/>
        <w:keepNext/>
      </w:pPr>
      <w:r>
        <w:rPr>
          <w:color w:val="000000"/>
        </w:rPr>
        <w:t>Buyer archetype and purchase trigger</w:t>
      </w:r>
    </w:p>
    <w:p>
      <w:r>
        <w:t>Working hypothesis. Title: Security Director or VP of Facilities at a logistics operator or commercial site owner. Budget: site security operating expenditure for RaaS; security equipment capital expenditure for a purchase. Trigger: a guard-contract renewal, repeated missed patrol rounds or expansion of outdoor coverage. Budget amount and authority limits are unconfirmed.</w:t>
      </w:r>
    </w:p>
    <w:p>
      <w:pPr>
        <w:pStyle w:val="Heading2"/>
        <w:keepNext/>
      </w:pPr>
      <w:r>
        <w:rPr>
          <w:color w:val="000000"/>
        </w:rPr>
        <w:t>Direct user and daily operator</w:t>
      </w:r>
    </w:p>
    <w:p>
      <w:r>
        <w:t>Security operations centre analysts monitor patrol outputs day to day. On-site guards respond to incidents and recover exceptions. Facilities staff may support charging and maintenance; roles must be confirmed.</w:t>
      </w:r>
    </w:p>
    <w:p>
      <w:pPr>
        <w:pStyle w:val="Heading2"/>
        <w:keepNext/>
      </w:pPr>
      <w:r>
        <w:rPr>
          <w:color w:val="000000"/>
        </w:rPr>
        <w:t>Job to be done and current alternative</w:t>
      </w:r>
    </w:p>
    <w:p>
      <w:r>
        <w:t>Provide repeatable outdoor patrol observations and route potential incidents to people. Primary alternative: contracted outdoor guard rounds. Fixed cameras with manual monitoring are a secondary comparator. BLS describes guard duties extending beyond patrol to access control, emergency response and reporting (BLS duties). Only demonstrated, removable tasks should enter a savings case; a whole guard position is not automatically replaceable.</w:t>
      </w:r>
    </w:p>
    <w:p>
      <w:pPr>
        <w:pStyle w:val="Heading2"/>
        <w:keepNext/>
      </w:pPr>
      <w:r>
        <w:rPr>
          <w:color w:val="000000"/>
        </w:rPr>
        <w:t>Plausible revenue model and rationale</w:t>
      </w:r>
    </w:p>
    <w:p>
      <w:r>
        <w:t>The proposed model starts with a paid, bounded pilot followed by RaaS if readiness permits. A service fee could include equipment, maintenance and agreed support, reducing the buyer’s initial ownership burden. Compare against sale and lease: retained hardware and field service may make RaaS cash-intensive for InGen. No public price or positive margin is assumed.</w:t>
      </w:r>
    </w:p>
    <w:p>
      <w:pPr>
        <w:pStyle w:val="Heading2"/>
        <w:keepNext/>
      </w:pPr>
      <w:r>
        <w:rPr>
          <w:color w:val="000000"/>
        </w:rPr>
        <w:t>Primary adoption constraint</w:t>
      </w:r>
    </w:p>
    <w:p>
      <w:r>
        <w:t>Primary barrier hypothesis: liability exposure from unreliable patrol execution. Before a pilot, confirm permitted terrain, obstacle handling, connectivity, charging, safe stops, weather limits and human escalation. Assign liability, site access and maintenance responsibilities in writing. These are diligence questions, not verified Rover capabilities or a determination that deployment is approved.</w:t>
      </w:r>
    </w:p>
    <w:p>
      <w:pPr>
        <w:pStyle w:val="Heading2"/>
        <w:keepNext/>
      </w:pPr>
      <w:r>
        <w:rPr>
          <w:color w:val="000000"/>
        </w:rPr>
        <w:t>Most important unanswered question</w:t>
      </w:r>
    </w:p>
    <w:p>
      <w:r>
        <w:t>Can a currently available Rover configuration complete useful patrol work at a defined US site with enough reliability and low enough human supervision to justify the full service cost?</w:t>
      </w:r>
    </w:p>
    <w:p>
      <w:pPr>
        <w:pStyle w:val="Heading1"/>
        <w:keepNext/>
        <w:pageBreakBefore/>
      </w:pPr>
      <w:r>
        <w:rPr>
          <w:color w:val="000000"/>
        </w:rPr>
        <w:t>Sentinel Prime AI</w:t>
      </w:r>
    </w:p>
    <w:p>
      <w:r>
        <w:t>Programme role: primary commercial co-anchor. Public status: operational on the company website (InGen website).</w:t>
      </w:r>
    </w:p>
    <w:p>
      <w:pPr>
        <w:pStyle w:val="Heading2"/>
        <w:keepNext/>
      </w:pPr>
      <w:r>
        <w:rPr>
          <w:color w:val="000000"/>
        </w:rPr>
        <w:t>Evidence and commercial interpretation</w:t>
      </w:r>
    </w:p>
    <w:p>
      <w:r>
        <w:t>The website describes security analytics using software, sensors and hardware (InGen website). The annual report identifies planned hardware and recurring software revenue channels, while stating that recurring platform services remain under development (InGen annual report). An operational website label does not verify a standardized US subscription or compatibility with a buyer’s equipment.</w:t>
      </w:r>
    </w:p>
    <w:p>
      <w:pPr>
        <w:pStyle w:val="Heading2"/>
        <w:keepNext/>
      </w:pPr>
      <w:r>
        <w:rPr>
          <w:color w:val="000000"/>
        </w:rPr>
        <w:t>Buyer archetype and purchase trigger</w:t>
      </w:r>
    </w:p>
    <w:p>
      <w:r>
        <w:t>Working hypothesis. Title: Security Director overseeing monitored facilities. Budget: security software and monitoring operations, with a separate integration allocation where needed. Trigger: excessive alert-review workload, a missed event or video-system renewal. The IT owner and procurement team influence approval. Amount, signatory and renewal date require validation.</w:t>
      </w:r>
    </w:p>
    <w:p>
      <w:pPr>
        <w:pStyle w:val="Heading2"/>
        <w:keepNext/>
      </w:pPr>
      <w:r>
        <w:rPr>
          <w:color w:val="000000"/>
        </w:rPr>
        <w:t>Direct user and daily operator</w:t>
      </w:r>
    </w:p>
    <w:p>
      <w:r>
        <w:t>Security operations analysts triage alerts and escalate incidents to guards or response teams. IT administers access and integration rather than serving as the primary alert user.</w:t>
      </w:r>
    </w:p>
    <w:p>
      <w:pPr>
        <w:pStyle w:val="Heading2"/>
        <w:keepNext/>
      </w:pPr>
      <w:r>
        <w:rPr>
          <w:color w:val="000000"/>
        </w:rPr>
        <w:t>Job to be done and current alternative</w:t>
      </w:r>
    </w:p>
    <w:p>
      <w:r>
        <w:t>Help the team identify and escalate relevant events from monitored areas with less unproductive review. Primary alternative: operators manually reviewing feeds in an existing video-management system. Built-in camera analytics are a secondary comparator. Value must come from better decisions or measurable time released, rather than simply generating more alerts. Human incident response remains part of the workflow.</w:t>
      </w:r>
    </w:p>
    <w:p>
      <w:pPr>
        <w:pStyle w:val="Heading2"/>
        <w:keepNext/>
      </w:pPr>
      <w:r>
        <w:rPr>
          <w:color w:val="000000"/>
        </w:rPr>
        <w:t>Plausible revenue model and rationale</w:t>
      </w:r>
    </w:p>
    <w:p>
      <w:r>
        <w:t>The proposed model is a site or camera-based software licence or subscription, with separately identified integration and support charges where needed. A bounded evaluation could precede rollout. This may require less new hardware than Rover if existing infrastructure is compatible. Compatibility and any lower upfront cost are hypotheses; neither is established by public material.</w:t>
      </w:r>
    </w:p>
    <w:p>
      <w:pPr>
        <w:pStyle w:val="Heading2"/>
        <w:keepNext/>
      </w:pPr>
      <w:r>
        <w:rPr>
          <w:color w:val="000000"/>
        </w:rPr>
        <w:t>Primary adoption constraint</w:t>
      </w:r>
    </w:p>
    <w:p>
      <w:r>
        <w:t>Primary barrier hypothesis: integration with the installed monitoring environment. Performance must also be demonstrated. False alarms can increase analyst workload; missed events undermine trust. Evaluate alert quality under agreed event definitions and conditions. Clarify access controls, footage retention, data location and escalation ownership. NIST supports context-specific evaluation of AI trustworthiness but does not establish Sentinel compliance (NIST AI framework).</w:t>
      </w:r>
    </w:p>
    <w:p>
      <w:pPr>
        <w:pStyle w:val="Heading2"/>
        <w:keepNext/>
      </w:pPr>
      <w:r>
        <w:rPr>
          <w:color w:val="000000"/>
        </w:rPr>
        <w:t>Most important unanswered question</w:t>
      </w:r>
    </w:p>
    <w:p>
      <w:r>
        <w:t>Can Sentinel improve actionable event detection or reduce review effort on the target customer’s existing infrastructure, at a total cost and false-alarm burden the buyer accepts?</w:t>
      </w:r>
    </w:p>
    <w:p>
      <w:pPr>
        <w:pStyle w:val="Heading1"/>
        <w:keepNext/>
        <w:pageBreakBefore/>
      </w:pPr>
      <w:r>
        <w:rPr>
          <w:color w:val="000000"/>
        </w:rPr>
        <w:t>Fari</w:t>
      </w:r>
    </w:p>
    <w:p>
      <w:r>
        <w:t>Programme role: secondary segment test in US senior living. Public status: in development (InGen website).</w:t>
      </w:r>
    </w:p>
    <w:p>
      <w:pPr>
        <w:pStyle w:val="Heading2"/>
        <w:keepNext/>
      </w:pPr>
      <w:r>
        <w:rPr>
          <w:color w:val="000000"/>
        </w:rPr>
        <w:t>Evidence and commercial interpretation</w:t>
      </w:r>
    </w:p>
    <w:p>
      <w:r>
        <w:t>The website positions Fari as an eldercare companion in development. The annual report dated 30 April 2026 describes a mobility and assistant platform for small-business service, hospitality and enterprise use. Its current care configuration is therefore unconfirmed. Manchester’s April 2025 announcement supports elderly-care research, without establishing US demand or completed outcomes. Senior living remains a provisional context for this profile.</w:t>
      </w:r>
    </w:p>
    <w:p>
      <w:pPr>
        <w:pStyle w:val="Heading2"/>
        <w:keepNext/>
      </w:pPr>
      <w:r>
        <w:rPr>
          <w:color w:val="000000"/>
        </w:rPr>
        <w:t>Buyer archetype and purchase trigger</w:t>
      </w:r>
    </w:p>
    <w:p>
      <w:r>
        <w:t>Working hypothesis. Title: Executive Director of a senior-living facility, supported by the resident-life lead. Budget: resident engagement and activity programming or an approved innovation pilot. Trigger: documented gaps in optional engagement activities, family concerns about isolation or a programme review. No reimbursement, budget amount or purchasing authority is assumed.</w:t>
      </w:r>
    </w:p>
    <w:p>
      <w:pPr>
        <w:pStyle w:val="Heading2"/>
        <w:keepNext/>
      </w:pPr>
      <w:r>
        <w:rPr>
          <w:color w:val="000000"/>
        </w:rPr>
        <w:t>Direct user and daily operator</w:t>
      </w:r>
    </w:p>
    <w:p>
      <w:r>
        <w:t>Activity coordinators set up sessions and assist residents day to day; residents interact with the device. Family members and care staff influence acceptance but are not interchangeable with the budget owner.</w:t>
      </w:r>
    </w:p>
    <w:p>
      <w:pPr>
        <w:pStyle w:val="Heading2"/>
        <w:keepNext/>
      </w:pPr>
      <w:r>
        <w:rPr>
          <w:color w:val="000000"/>
        </w:rPr>
        <w:t>Job to be done and current alternative</w:t>
      </w:r>
    </w:p>
    <w:p>
      <w:r>
        <w:t>Support optional social engagement and routine activity between human interactions. Primary alternative: staff-led resident engagement sessions. Companion visits, telephone calls and tablets are secondary options. The proposed role supplements human contact. A reduction in clinical care or mandatory safety checks is not assumed, and benefits should be evaluated for the specific resident group.</w:t>
      </w:r>
    </w:p>
    <w:p>
      <w:pPr>
        <w:pStyle w:val="Heading2"/>
        <w:keepNext/>
      </w:pPr>
      <w:r>
        <w:rPr>
          <w:color w:val="000000"/>
        </w:rPr>
        <w:t>Plausible revenue model and rationale</w:t>
      </w:r>
    </w:p>
    <w:p>
      <w:r>
        <w:t>The proposed model starts with a small facility pilot, followed by a supported lease or service subscription if residents and staff obtain value. A facility contract could combine devices, onboarding, content and maintenance. Compared with a consumer sale, it may centralize support and purchasing. The lease economics remain open until service workload, device life and willingness to pay are known.</w:t>
      </w:r>
    </w:p>
    <w:p>
      <w:pPr>
        <w:pStyle w:val="Heading2"/>
        <w:keepNext/>
      </w:pPr>
      <w:r>
        <w:rPr>
          <w:color w:val="000000"/>
        </w:rPr>
        <w:t>Primary adoption constraint</w:t>
      </w:r>
    </w:p>
    <w:p>
      <w:r>
        <w:t>Primary barrier hypothesis: resident and family acceptance of the device and its data practices. Staff support capacity is a secondary concern. Establish an appropriate consent process, data minimization, staff oversight and a clear way to decline participation. Map any health-related data flows before deciding what privacy obligations apply. The device should not be presented as a clinical or emergency-response substitute without supporting evidence.</w:t>
      </w:r>
    </w:p>
    <w:p>
      <w:pPr>
        <w:pStyle w:val="Heading2"/>
        <w:keepNext/>
      </w:pPr>
      <w:r>
        <w:rPr>
          <w:color w:val="000000"/>
        </w:rPr>
        <w:t>Most important unanswered question</w:t>
      </w:r>
    </w:p>
    <w:p>
      <w:r>
        <w:t>Can a current Fari care configuration deliver voluntary repeat engagement that a facility will fund after staff setup, troubleshooting and support costs?</w:t>
      </w:r>
    </w:p>
    <w:p>
      <w:pPr>
        <w:pStyle w:val="Heading1"/>
        <w:keepNext/>
        <w:pageBreakBefore/>
      </w:pPr>
      <w:r>
        <w:rPr>
          <w:color w:val="000000"/>
        </w:rPr>
        <w:t>Senpai</w:t>
      </w:r>
    </w:p>
    <w:p>
      <w:r>
        <w:t>Programme role: education market context. Public status: in development (InGen website).</w:t>
      </w:r>
    </w:p>
    <w:p>
      <w:pPr>
        <w:pStyle w:val="Heading2"/>
        <w:keepNext/>
      </w:pPr>
      <w:r>
        <w:rPr>
          <w:color w:val="000000"/>
        </w:rPr>
        <w:t>Evidence and commercial interpretation</w:t>
      </w:r>
    </w:p>
    <w:p>
      <w:r>
        <w:t>Senpai is positioned as a children’s educational robot (InGen website). Manchester proposes research that includes special needs education (Manchester announcement). A proposed research application does not demonstrate classroom effectiveness, curriculum acceptance or a commercial school deployment.</w:t>
      </w:r>
    </w:p>
    <w:p>
      <w:pPr>
        <w:pStyle w:val="Heading2"/>
        <w:keepNext/>
      </w:pPr>
      <w:r>
        <w:rPr>
          <w:color w:val="000000"/>
        </w:rPr>
        <w:t>Buyer archetype and purchase trigger</w:t>
      </w:r>
    </w:p>
    <w:p>
      <w:r>
        <w:t>Working hypothesis. Title: District Technology Director or a principal with delegated authority. Budget: approved instructional technology or a restricted education grant, subject to allowed uses. Trigger: a STEM programme purchase, grant award or scheduled curriculum review. Amount, grant eligibility and signatory need confirmation; these are candidate routes, not observed demand.</w:t>
      </w:r>
    </w:p>
    <w:p>
      <w:pPr>
        <w:pStyle w:val="Heading2"/>
        <w:keepNext/>
      </w:pPr>
      <w:r>
        <w:rPr>
          <w:color w:val="000000"/>
        </w:rPr>
        <w:t>Direct user and daily operator</w:t>
      </w:r>
    </w:p>
    <w:p>
      <w:r>
        <w:t>Teachers or learning-support staff configure and supervise classroom sessions; students interact with the robot. Curriculum reviewers and parents influence approval rather than daily technical operation.</w:t>
      </w:r>
    </w:p>
    <w:p>
      <w:pPr>
        <w:pStyle w:val="Heading2"/>
        <w:keepNext/>
      </w:pPr>
      <w:r>
        <w:rPr>
          <w:color w:val="000000"/>
        </w:rPr>
        <w:t>Job to be done and current alternative</w:t>
      </w:r>
    </w:p>
    <w:p>
      <w:r>
        <w:t>Provide a supervised learning activity that teachers can integrate into a lesson. Primary alternative: teacher-led learning using existing tablets or educational apps. Classroom robot kits are a secondary option. The commercial question is what the physical interaction adds relative to those lower-complexity alternatives, including lesson preparation time and sustained student engagement.</w:t>
      </w:r>
    </w:p>
    <w:p>
      <w:pPr>
        <w:pStyle w:val="Heading2"/>
        <w:keepNext/>
      </w:pPr>
      <w:r>
        <w:rPr>
          <w:color w:val="000000"/>
        </w:rPr>
        <w:t>Plausible revenue model and rationale</w:t>
      </w:r>
    </w:p>
    <w:p>
      <w:r>
        <w:t>The proposed model is a device purchase or lease plus an annual content and support licence, with volume terms if adoption grows. Separate hardware, content updates and teacher onboarding in the cost build. An institution may prefer predictable annual expenditure, but grant timing, approval authority and renewal criteria must be verified for the chosen segment.</w:t>
      </w:r>
    </w:p>
    <w:p>
      <w:pPr>
        <w:pStyle w:val="Heading2"/>
        <w:keepNext/>
      </w:pPr>
      <w:r>
        <w:rPr>
          <w:color w:val="000000"/>
        </w:rPr>
        <w:t>Primary adoption constraint</w:t>
      </w:r>
    </w:p>
    <w:p>
      <w:r>
        <w:t>Primary barrier hypothesis: school approval of children’s data collection and use. For connected services that collect children’s information, review applicable COPPA requirements with the appropriate reviewer. FTC guidance discusses connected devices, data collection and the limits of school consent (FTC guidance). Do not assume school approval covers unrelated commercial use. Also assess physical safety, accessibility and content suitability.</w:t>
      </w:r>
    </w:p>
    <w:p>
      <w:pPr>
        <w:pStyle w:val="Heading2"/>
        <w:keepNext/>
      </w:pPr>
      <w:r>
        <w:rPr>
          <w:color w:val="000000"/>
        </w:rPr>
        <w:t>Most important unanswered question</w:t>
      </w:r>
    </w:p>
    <w:p>
      <w:r>
        <w:t>Does Senpai provide enough additional educational value, relative to tablets or existing classroom tools, to justify its acquisition, teacher-training and privacy-review costs?</w:t>
      </w:r>
    </w:p>
    <w:p>
      <w:pPr>
        <w:pStyle w:val="Heading1"/>
        <w:keepNext/>
        <w:pageBreakBefore/>
      </w:pPr>
      <w:r>
        <w:rPr>
          <w:color w:val="000000"/>
        </w:rPr>
        <w:t>Aido Humanoid</w:t>
      </w:r>
    </w:p>
    <w:p>
      <w:r>
        <w:t>Programme role: longer-horizon research context. Public status: research stage (InGen website).</w:t>
      </w:r>
    </w:p>
    <w:p>
      <w:pPr>
        <w:pStyle w:val="Heading2"/>
        <w:keepNext/>
      </w:pPr>
      <w:r>
        <w:rPr>
          <w:color w:val="000000"/>
        </w:rPr>
        <w:t>Evidence and commercial interpretation</w:t>
      </w:r>
    </w:p>
    <w:p>
      <w:r>
        <w:t>The website places the humanoid programme in its research portfolio (InGen website). The working commercial scope here is a research platform, not a general-purpose robot proven ready for unattended customer operations. Public specifications alone cannot establish task reliability or deployment economics.</w:t>
      </w:r>
    </w:p>
    <w:p>
      <w:pPr>
        <w:pStyle w:val="Heading2"/>
        <w:keepNext/>
      </w:pPr>
      <w:r>
        <w:rPr>
          <w:color w:val="000000"/>
        </w:rPr>
        <w:t>Buyer archetype and purchase trigger</w:t>
      </w:r>
    </w:p>
    <w:p>
      <w:r>
        <w:t>Working hypothesis. Title: university principal investigator or corporate R&amp;D director. Budget: awarded research funding, laboratory equipment capital expenditure or an approved R&amp;D project. Trigger: a funded experiment that needs embodied capabilities unavailable on existing equipment. Confirm funding restrictions, procurement approval and amount before treating interest as a purchase opportunity.</w:t>
      </w:r>
    </w:p>
    <w:p>
      <w:pPr>
        <w:pStyle w:val="Heading2"/>
        <w:keepNext/>
      </w:pPr>
      <w:r>
        <w:rPr>
          <w:color w:val="000000"/>
        </w:rPr>
        <w:t>Direct user and daily operator</w:t>
      </w:r>
    </w:p>
    <w:p>
      <w:r>
        <w:t>Robotics researchers, graduate students and laboratory engineers operate and program the platform. A lab technician may handle maintenance. The PI or R&amp;D director sponsors the work but may not operate the robot.</w:t>
      </w:r>
    </w:p>
    <w:p>
      <w:pPr>
        <w:pStyle w:val="Heading2"/>
        <w:keepNext/>
      </w:pPr>
      <w:r>
        <w:rPr>
          <w:color w:val="000000"/>
        </w:rPr>
        <w:t>Job to be done and current alternative</w:t>
      </w:r>
    </w:p>
    <w:p>
      <w:r>
        <w:t>Enable a specific experiment in physical AI, manipulation or interaction. Primary alternative: the laboratory’s existing research robot used with simulation. Mobile bases and robot arms are additional comparison options. The buyer needs capabilities that fit the research question, with usable interfaces, repeatable experiments and technical support; a human-like form alone is insufficient justification.</w:t>
      </w:r>
    </w:p>
    <w:p>
      <w:pPr>
        <w:pStyle w:val="Heading2"/>
        <w:keepNext/>
      </w:pPr>
      <w:r>
        <w:rPr>
          <w:color w:val="000000"/>
        </w:rPr>
        <w:t>Plausible revenue model and rationale</w:t>
      </w:r>
    </w:p>
    <w:p>
      <w:r>
        <w:t>The proposed model is a milestone-based research agreement, equipment sale or time-limited lease, with software access and engineering support priced explicitly. A recurring support agreement may fit ongoing research better than charging for claimed labour savings. Confirm ownership of improvements, publication rights, data access and support limits before an agreement is recommended.</w:t>
      </w:r>
    </w:p>
    <w:p>
      <w:pPr>
        <w:pStyle w:val="Heading2"/>
        <w:keepNext/>
      </w:pPr>
      <w:r>
        <w:rPr>
          <w:color w:val="000000"/>
        </w:rPr>
        <w:t>Primary adoption constraint</w:t>
      </w:r>
    </w:p>
    <w:p>
      <w:r>
        <w:t>Primary barrier hypothesis: insufficient evidence of a repeatable, supportable research capability. Safe experimentation is a necessary approval condition. Assess the permitted operating envelope, supervision, controlled access, safe stops and maintenance capability. NIST’s voluntary framework provides a lens for assessing AI risk and evidence (NIST AI framework); it does not replace physical safety review or establish that the platform meets a specific standard.</w:t>
      </w:r>
    </w:p>
    <w:p>
      <w:pPr>
        <w:pStyle w:val="Heading2"/>
        <w:keepNext/>
      </w:pPr>
      <w:r>
        <w:rPr>
          <w:color w:val="000000"/>
        </w:rPr>
        <w:t>Most important unanswered question</w:t>
      </w:r>
    </w:p>
    <w:p>
      <w:r>
        <w:t>Can InGen deliver and support a repeatable capability that a funded research buyer cannot obtain more effectively from an available alternative?</w:t>
      </w:r>
    </w:p>
    <w:p>
      <w:pPr>
        <w:pStyle w:val="Heading1"/>
        <w:keepNext/>
        <w:pageBreakBefore/>
      </w:pPr>
      <w:r>
        <w:rPr>
          <w:color w:val="000000"/>
        </w:rPr>
        <w:t>Provisional ranking and recommended focus</w:t>
      </w:r>
    </w:p>
    <w:p>
      <w:r>
        <w:t>Sentinel first for near-term commercial investigation, Rover second subject to a readiness gate. This ordering addresses commercial path clarity, not technical potential or confirmed sales. Rover remains the programme’s principal hardware case.</w:t>
      </w:r>
    </w:p>
    <w:tbl>
      <w:tblPr>
        <w:tblW w:type="auto" w:w="0"/>
        <w:tblLayout w:type="fixed"/>
        <w:tblLook w:firstColumn="1" w:firstRow="1" w:lastColumn="0" w:lastRow="0" w:noHBand="0" w:noVBand="1" w:val="04A0"/>
      </w:tblPr>
      <w:tblGrid>
        <w:gridCol w:w="648"/>
        <w:gridCol w:w="1944"/>
        <w:gridCol w:w="7128"/>
      </w:tblGrid>
      <w:tr>
        <w:tc>
          <w:tcPr>
            <w:tcW w:type="dxa" w:w="648"/>
            <w:tcBorders>
              <w:top w:val="single" w:sz="4" w:color="D9D9D9"/>
              <w:left w:val="single" w:sz="4" w:color="D9D9D9"/>
              <w:bottom w:val="single" w:sz="4" w:color="D9D9D9"/>
              <w:right w:val="single" w:sz="4" w:color="D9D9D9"/>
            </w:tcBorders>
            <w:shd w:fill="173B5E"/>
          </w:tcPr>
          <w:p>
            <w:pPr>
              <w:spacing w:after="100" w:before="100"/>
            </w:pPr>
            <w:r>
              <w:rPr>
                <w:b/>
                <w:color w:val="FFFFFF"/>
                <w:sz w:val="19"/>
              </w:rPr>
              <w:t>Rank</w:t>
            </w:r>
          </w:p>
        </w:tc>
        <w:tc>
          <w:tcPr>
            <w:tcW w:type="dxa" w:w="1944"/>
            <w:tcBorders>
              <w:top w:val="single" w:sz="4" w:color="D9D9D9"/>
              <w:left w:val="single" w:sz="4" w:color="D9D9D9"/>
              <w:bottom w:val="single" w:sz="4" w:color="D9D9D9"/>
              <w:right w:val="single" w:sz="4" w:color="D9D9D9"/>
            </w:tcBorders>
            <w:shd w:fill="173B5E"/>
          </w:tcPr>
          <w:p>
            <w:pPr>
              <w:spacing w:after="100" w:before="100"/>
            </w:pPr>
            <w:r>
              <w:rPr>
                <w:b/>
                <w:color w:val="FFFFFF"/>
                <w:sz w:val="19"/>
              </w:rPr>
              <w:t>Platform</w:t>
            </w:r>
          </w:p>
        </w:tc>
        <w:tc>
          <w:tcPr>
            <w:tcW w:type="dxa" w:w="7128"/>
            <w:tcBorders>
              <w:top w:val="single" w:sz="4" w:color="D9D9D9"/>
              <w:left w:val="single" w:sz="4" w:color="D9D9D9"/>
              <w:bottom w:val="single" w:sz="4" w:color="D9D9D9"/>
              <w:right w:val="single" w:sz="4" w:color="D9D9D9"/>
            </w:tcBorders>
            <w:shd w:fill="173B5E"/>
          </w:tcPr>
          <w:p>
            <w:pPr>
              <w:spacing w:after="100" w:before="100"/>
            </w:pPr>
            <w:r>
              <w:rPr>
                <w:b/>
                <w:color w:val="FFFFFF"/>
                <w:sz w:val="19"/>
              </w:rPr>
              <w:t>Reason and condition</w:t>
            </w:r>
          </w:p>
        </w:tc>
      </w:tr>
      <w:tr>
        <w:tc>
          <w:tcPr>
            <w:tcW w:type="dxa" w:w="648"/>
            <w:tcBorders>
              <w:top w:val="single" w:sz="4" w:color="D9D9D9"/>
              <w:left w:val="single" w:sz="4" w:color="D9D9D9"/>
              <w:bottom w:val="single" w:sz="4" w:color="D9D9D9"/>
              <w:right w:val="single" w:sz="4" w:color="D9D9D9"/>
            </w:tcBorders>
            <w:shd w:fill="FFFFFF"/>
          </w:tcPr>
          <w:p>
            <w:pPr>
              <w:spacing w:after="100" w:before="100"/>
            </w:pPr>
            <w:r>
              <w:rPr>
                <w:b w:val="0"/>
                <w:color w:val="000000"/>
                <w:sz w:val="19"/>
              </w:rPr>
              <w:t>1</w:t>
            </w:r>
          </w:p>
        </w:tc>
        <w:tc>
          <w:tcPr>
            <w:tcW w:type="dxa" w:w="1944"/>
            <w:tcBorders>
              <w:top w:val="single" w:sz="4" w:color="D9D9D9"/>
              <w:left w:val="single" w:sz="4" w:color="D9D9D9"/>
              <w:bottom w:val="single" w:sz="4" w:color="D9D9D9"/>
              <w:right w:val="single" w:sz="4" w:color="D9D9D9"/>
            </w:tcBorders>
            <w:shd w:fill="FFFFFF"/>
          </w:tcPr>
          <w:p>
            <w:pPr>
              <w:spacing w:after="100" w:before="100"/>
            </w:pPr>
            <w:r>
              <w:rPr>
                <w:b w:val="0"/>
                <w:color w:val="000000"/>
                <w:sz w:val="19"/>
              </w:rPr>
              <w:t>Sentinel Prime AI</w:t>
            </w:r>
          </w:p>
        </w:tc>
        <w:tc>
          <w:tcPr>
            <w:tcW w:type="dxa" w:w="7128"/>
            <w:tcBorders>
              <w:top w:val="single" w:sz="4" w:color="D9D9D9"/>
              <w:left w:val="single" w:sz="4" w:color="D9D9D9"/>
              <w:bottom w:val="single" w:sz="4" w:color="D9D9D9"/>
              <w:right w:val="single" w:sz="4" w:color="D9D9D9"/>
            </w:tcBorders>
            <w:shd w:fill="FFFFFF"/>
          </w:tcPr>
          <w:p>
            <w:pPr>
              <w:spacing w:after="100" w:before="100"/>
            </w:pPr>
            <w:r>
              <w:rPr>
                <w:b w:val="0"/>
                <w:color w:val="000000"/>
                <w:sz w:val="19"/>
              </w:rPr>
              <w:t>Operational website status and a potential analytics entry offer. Confirm standalone deployment, integration effort and customer evidence.</w:t>
            </w:r>
          </w:p>
        </w:tc>
      </w:tr>
      <w:tr>
        <w:tc>
          <w:tcPr>
            <w:tcW w:type="dxa" w:w="648"/>
            <w:tcBorders>
              <w:top w:val="single" w:sz="4" w:color="D9D9D9"/>
              <w:left w:val="single" w:sz="4" w:color="D9D9D9"/>
              <w:bottom w:val="single" w:sz="4" w:color="D9D9D9"/>
              <w:right w:val="single" w:sz="4" w:color="D9D9D9"/>
            </w:tcBorders>
            <w:shd w:fill="F0F5F9"/>
          </w:tcPr>
          <w:p>
            <w:pPr>
              <w:spacing w:after="100" w:before="100"/>
            </w:pPr>
            <w:r>
              <w:rPr>
                <w:b w:val="0"/>
                <w:color w:val="000000"/>
                <w:sz w:val="19"/>
              </w:rPr>
              <w:t>2</w:t>
            </w:r>
          </w:p>
        </w:tc>
        <w:tc>
          <w:tcPr>
            <w:tcW w:type="dxa" w:w="1944"/>
            <w:tcBorders>
              <w:top w:val="single" w:sz="4" w:color="D9D9D9"/>
              <w:left w:val="single" w:sz="4" w:color="D9D9D9"/>
              <w:bottom w:val="single" w:sz="4" w:color="D9D9D9"/>
              <w:right w:val="single" w:sz="4" w:color="D9D9D9"/>
            </w:tcBorders>
            <w:shd w:fill="F0F5F9"/>
          </w:tcPr>
          <w:p>
            <w:pPr>
              <w:spacing w:after="100" w:before="100"/>
            </w:pPr>
            <w:r>
              <w:rPr>
                <w:b w:val="0"/>
                <w:color w:val="000000"/>
                <w:sz w:val="19"/>
              </w:rPr>
              <w:t>Aido Rover</w:t>
            </w:r>
          </w:p>
        </w:tc>
        <w:tc>
          <w:tcPr>
            <w:tcW w:type="dxa" w:w="7128"/>
            <w:tcBorders>
              <w:top w:val="single" w:sz="4" w:color="D9D9D9"/>
              <w:left w:val="single" w:sz="4" w:color="D9D9D9"/>
              <w:bottom w:val="single" w:sz="4" w:color="D9D9D9"/>
              <w:right w:val="single" w:sz="4" w:color="D9D9D9"/>
            </w:tcBorders>
            <w:shd w:fill="F0F5F9"/>
          </w:tcPr>
          <w:p>
            <w:pPr>
              <w:spacing w:after="100" w:before="100"/>
            </w:pPr>
            <w:r>
              <w:rPr>
                <w:b w:val="0"/>
                <w:color w:val="000000"/>
                <w:sz w:val="19"/>
              </w:rPr>
              <w:t>Clear patrol task and labour-cost comparator. Research status prevents an assumption of immediate paid-pilot availability.</w:t>
            </w:r>
          </w:p>
        </w:tc>
      </w:tr>
      <w:tr>
        <w:tc>
          <w:tcPr>
            <w:tcW w:type="dxa" w:w="648"/>
            <w:tcBorders>
              <w:top w:val="single" w:sz="4" w:color="D9D9D9"/>
              <w:left w:val="single" w:sz="4" w:color="D9D9D9"/>
              <w:bottom w:val="single" w:sz="4" w:color="D9D9D9"/>
              <w:right w:val="single" w:sz="4" w:color="D9D9D9"/>
            </w:tcBorders>
            <w:shd w:fill="FFFFFF"/>
          </w:tcPr>
          <w:p>
            <w:pPr>
              <w:spacing w:after="100" w:before="100"/>
            </w:pPr>
            <w:r>
              <w:rPr>
                <w:b w:val="0"/>
                <w:color w:val="000000"/>
                <w:sz w:val="19"/>
              </w:rPr>
              <w:t>3</w:t>
            </w:r>
          </w:p>
        </w:tc>
        <w:tc>
          <w:tcPr>
            <w:tcW w:type="dxa" w:w="1944"/>
            <w:tcBorders>
              <w:top w:val="single" w:sz="4" w:color="D9D9D9"/>
              <w:left w:val="single" w:sz="4" w:color="D9D9D9"/>
              <w:bottom w:val="single" w:sz="4" w:color="D9D9D9"/>
              <w:right w:val="single" w:sz="4" w:color="D9D9D9"/>
            </w:tcBorders>
            <w:shd w:fill="FFFFFF"/>
          </w:tcPr>
          <w:p>
            <w:pPr>
              <w:spacing w:after="100" w:before="100"/>
            </w:pPr>
            <w:r>
              <w:rPr>
                <w:b w:val="0"/>
                <w:color w:val="000000"/>
                <w:sz w:val="19"/>
              </w:rPr>
              <w:t>Fari</w:t>
            </w:r>
          </w:p>
        </w:tc>
        <w:tc>
          <w:tcPr>
            <w:tcW w:type="dxa" w:w="7128"/>
            <w:tcBorders>
              <w:top w:val="single" w:sz="4" w:color="D9D9D9"/>
              <w:left w:val="single" w:sz="4" w:color="D9D9D9"/>
              <w:bottom w:val="single" w:sz="4" w:color="D9D9D9"/>
              <w:right w:val="single" w:sz="4" w:color="D9D9D9"/>
            </w:tcBorders>
            <w:shd w:fill="FFFFFF"/>
          </w:tcPr>
          <w:p>
            <w:pPr>
              <w:spacing w:after="100" w:before="100"/>
            </w:pPr>
            <w:r>
              <w:rPr>
                <w:b w:val="0"/>
                <w:color w:val="000000"/>
                <w:sz w:val="19"/>
              </w:rPr>
              <w:t>A bounded facility buyer and engagement use case can be specified. Readiness, voluntary use and staff support burden remain open.</w:t>
            </w:r>
          </w:p>
        </w:tc>
      </w:tr>
      <w:tr>
        <w:tc>
          <w:tcPr>
            <w:tcW w:type="dxa" w:w="648"/>
            <w:tcBorders>
              <w:top w:val="single" w:sz="4" w:color="D9D9D9"/>
              <w:left w:val="single" w:sz="4" w:color="D9D9D9"/>
              <w:bottom w:val="single" w:sz="4" w:color="D9D9D9"/>
              <w:right w:val="single" w:sz="4" w:color="D9D9D9"/>
            </w:tcBorders>
            <w:shd w:fill="F0F5F9"/>
          </w:tcPr>
          <w:p>
            <w:pPr>
              <w:spacing w:after="100" w:before="100"/>
            </w:pPr>
            <w:r>
              <w:rPr>
                <w:b w:val="0"/>
                <w:color w:val="000000"/>
                <w:sz w:val="19"/>
              </w:rPr>
              <w:t>4</w:t>
            </w:r>
          </w:p>
        </w:tc>
        <w:tc>
          <w:tcPr>
            <w:tcW w:type="dxa" w:w="1944"/>
            <w:tcBorders>
              <w:top w:val="single" w:sz="4" w:color="D9D9D9"/>
              <w:left w:val="single" w:sz="4" w:color="D9D9D9"/>
              <w:bottom w:val="single" w:sz="4" w:color="D9D9D9"/>
              <w:right w:val="single" w:sz="4" w:color="D9D9D9"/>
            </w:tcBorders>
            <w:shd w:fill="F0F5F9"/>
          </w:tcPr>
          <w:p>
            <w:pPr>
              <w:spacing w:after="100" w:before="100"/>
            </w:pPr>
            <w:r>
              <w:rPr>
                <w:b w:val="0"/>
                <w:color w:val="000000"/>
                <w:sz w:val="19"/>
              </w:rPr>
              <w:t>Senpai</w:t>
            </w:r>
          </w:p>
        </w:tc>
        <w:tc>
          <w:tcPr>
            <w:tcW w:type="dxa" w:w="7128"/>
            <w:tcBorders>
              <w:top w:val="single" w:sz="4" w:color="D9D9D9"/>
              <w:left w:val="single" w:sz="4" w:color="D9D9D9"/>
              <w:bottom w:val="single" w:sz="4" w:color="D9D9D9"/>
              <w:right w:val="single" w:sz="4" w:color="D9D9D9"/>
            </w:tcBorders>
            <w:shd w:fill="F0F5F9"/>
          </w:tcPr>
          <w:p>
            <w:pPr>
              <w:spacing w:after="100" w:before="100"/>
            </w:pPr>
            <w:r>
              <w:rPr>
                <w:b w:val="0"/>
                <w:color w:val="000000"/>
                <w:sz w:val="19"/>
              </w:rPr>
              <w:t>Identifiable institutional buyer, but incremental learning value and purchasing approval need evidence.</w:t>
            </w:r>
          </w:p>
        </w:tc>
      </w:tr>
      <w:tr>
        <w:tc>
          <w:tcPr>
            <w:tcW w:type="dxa" w:w="648"/>
            <w:tcBorders>
              <w:top w:val="single" w:sz="4" w:color="D9D9D9"/>
              <w:left w:val="single" w:sz="4" w:color="D9D9D9"/>
              <w:bottom w:val="single" w:sz="4" w:color="D9D9D9"/>
              <w:right w:val="single" w:sz="4" w:color="D9D9D9"/>
            </w:tcBorders>
            <w:shd w:fill="FFFFFF"/>
          </w:tcPr>
          <w:p>
            <w:pPr>
              <w:spacing w:after="100" w:before="100"/>
            </w:pPr>
            <w:r>
              <w:rPr>
                <w:b w:val="0"/>
                <w:color w:val="000000"/>
                <w:sz w:val="19"/>
              </w:rPr>
              <w:t>5</w:t>
            </w:r>
          </w:p>
        </w:tc>
        <w:tc>
          <w:tcPr>
            <w:tcW w:type="dxa" w:w="1944"/>
            <w:tcBorders>
              <w:top w:val="single" w:sz="4" w:color="D9D9D9"/>
              <w:left w:val="single" w:sz="4" w:color="D9D9D9"/>
              <w:bottom w:val="single" w:sz="4" w:color="D9D9D9"/>
              <w:right w:val="single" w:sz="4" w:color="D9D9D9"/>
            </w:tcBorders>
            <w:shd w:fill="FFFFFF"/>
          </w:tcPr>
          <w:p>
            <w:pPr>
              <w:spacing w:after="100" w:before="100"/>
            </w:pPr>
            <w:r>
              <w:rPr>
                <w:b w:val="0"/>
                <w:color w:val="000000"/>
                <w:sz w:val="19"/>
              </w:rPr>
              <w:t>Aido Humanoid</w:t>
            </w:r>
          </w:p>
        </w:tc>
        <w:tc>
          <w:tcPr>
            <w:tcW w:type="dxa" w:w="7128"/>
            <w:tcBorders>
              <w:top w:val="single" w:sz="4" w:color="D9D9D9"/>
              <w:left w:val="single" w:sz="4" w:color="D9D9D9"/>
              <w:bottom w:val="single" w:sz="4" w:color="D9D9D9"/>
              <w:right w:val="single" w:sz="4" w:color="D9D9D9"/>
            </w:tcBorders>
            <w:shd w:fill="FFFFFF"/>
          </w:tcPr>
          <w:p>
            <w:pPr>
              <w:spacing w:after="100" w:before="100"/>
            </w:pPr>
            <w:r>
              <w:rPr>
                <w:b w:val="0"/>
                <w:color w:val="000000"/>
                <w:sz w:val="19"/>
              </w:rPr>
              <w:t>Research contracting is more plausible than repeatable operational sales at this stage. Deliverable capability is unconfirmed.</w:t>
            </w:r>
          </w:p>
        </w:tc>
      </w:tr>
    </w:tbl>
    <w:p>
      <w:pPr>
        <w:pStyle w:val="Heading2"/>
        <w:keepNext/>
      </w:pPr>
      <w:r>
        <w:rPr>
          <w:color w:val="000000"/>
        </w:rPr>
        <w:t>Basis and limits of the ranking</w:t>
      </w:r>
    </w:p>
    <w:p>
      <w:r>
        <w:t>The order considers readiness, a definable buyer and problem, delivery burden, and the evidence needed for a paid decision. Week 2 will test segment scores and weight sensitivity. Fari versus Senpai is least certain: Fari’s care configuration, facility willingness to pay and support burden remain unconfirmed.</w:t>
      </w:r>
    </w:p>
    <w:p>
      <w:pPr>
        <w:pStyle w:val="Heading2"/>
        <w:keepNext/>
      </w:pPr>
      <w:r>
        <w:rPr>
          <w:color w:val="000000"/>
        </w:rPr>
        <w:t>Strongest counterargument</w:t>
      </w:r>
    </w:p>
    <w:p>
      <w:r>
        <w:t>A research buyer may fund a prototype before an operating customer purchases a mature service. Therefore a funded Humanoid or Senpai project could generate a transaction earlier than Rover. Such a project would improve its research-contract ranking, but should not be confused with a scalable operating-market launch.</w:t>
      </w:r>
    </w:p>
    <w:p>
      <w:pPr>
        <w:pStyle w:val="Heading2"/>
        <w:keepNext/>
      </w:pPr>
      <w:r>
        <w:rPr>
          <w:color w:val="000000"/>
        </w:rPr>
        <w:t>What would change the recommendation</w:t>
      </w:r>
    </w:p>
    <w:p>
      <w:r>
        <w:t>Demonstrated Rover readiness and favourable support economics could move it above Sentinel. Unsupported camera integration or poor alert performance could move Sentinel down. A committed Fari or Senpai budget, supported by a feasible evaluation and readiness evidence, could reverse their order.</w:t>
      </w:r>
    </w:p>
    <w:p>
      <w:pPr>
        <w:pStyle w:val="Heading2"/>
        <w:keepNext/>
      </w:pPr>
      <w:r>
        <w:rPr>
          <w:color w:val="000000"/>
        </w:rPr>
        <w:t>Next analytical step</w:t>
      </w:r>
    </w:p>
    <w:p>
      <w:r>
        <w:t>Confirm readiness and available configurations through the supervisor. Then compare candidate security sites, build the market-sizing evidence base, and test customer and InGen economics separately. Define a paid pilot only after these gates. Public claims about market opportunity, funding commitments or pipeline do not substitute for customer demand or recognized revenue.</w:t>
      </w:r>
    </w:p>
    <w:p>
      <w:pPr>
        <w:pStyle w:val="Heading1"/>
        <w:keepNext/>
        <w:pageBreakBefore/>
      </w:pPr>
      <w:r>
        <w:rPr>
          <w:color w:val="000000"/>
        </w:rPr>
        <w:t>Sources and evidence boundaries</w:t>
      </w:r>
    </w:p>
    <w:p>
      <w:r>
        <w:t>Sources reviewed 27 October 2026. Company material supports stated positioning and maturity, while performance, adoption and customer outcomes require further evidence. The two evidence registers distinguish sources from assumptions. No market-size or revenue forecast is presented.</w:t>
      </w:r>
    </w:p>
    <w:p>
      <w:pPr>
        <w:pStyle w:val="Heading2"/>
        <w:keepNext/>
      </w:pPr>
      <w:r>
        <w:rPr>
          <w:color w:val="000000"/>
        </w:rPr>
        <w:t>InGen Dynamics product portfolio</w:t>
      </w:r>
    </w:p>
    <w:p>
      <w:r>
        <w:t>Undated live company website. Used for product positioning and maturity labels. Management claim; no independent verification. Different sections contain varying operating-hour figures, so none is used here.</w:t>
      </w:r>
    </w:p>
    <w:p>
      <w:pPr>
        <w:spacing w:after="100"/>
      </w:pPr>
      <w:r>
        <w:rPr>
          <w:sz w:val="18"/>
        </w:rPr>
        <w:t xml:space="preserve">Source link  </w:t>
      </w:r>
      <w:hyperlink r:id="rId9">
        <w:r>
          <w:t>InGen Dynamics product portfolio</w:t>
        </w:r>
      </w:hyperlink>
    </w:p>
    <w:p>
      <w:pPr>
        <w:pStyle w:val="Heading2"/>
        <w:keepNext/>
      </w:pPr>
      <w:r>
        <w:rPr>
          <w:color w:val="000000"/>
        </w:rPr>
        <w:t>InGen Dynamics annual report</w:t>
      </w:r>
    </w:p>
    <w:p>
      <w:r>
        <w:t>Form C-AR for 2025, dated 30 April 2026. Business and Anticipated Business Plan; Revenue Model. Used for disclosed monetization plans and development qualifications. An issuer filing is not SEC endorsement or independent product verification.</w:t>
      </w:r>
    </w:p>
    <w:p>
      <w:pPr>
        <w:spacing w:after="100"/>
      </w:pPr>
      <w:r>
        <w:rPr>
          <w:sz w:val="18"/>
        </w:rPr>
        <w:t xml:space="preserve">Source link  </w:t>
      </w:r>
      <w:hyperlink r:id="rId10">
        <w:r>
          <w:t>InGen Dynamics annual report</w:t>
        </w:r>
      </w:hyperlink>
    </w:p>
    <w:p>
      <w:pPr>
        <w:pStyle w:val="Heading2"/>
        <w:keepNext/>
      </w:pPr>
      <w:r>
        <w:rPr>
          <w:color w:val="000000"/>
        </w:rPr>
        <w:t>University of Manchester announcement</w:t>
      </w:r>
    </w:p>
    <w:p>
      <w:r>
        <w:t>10 April 2025. Used for the announced MoU and proposed research in elderly care, special needs education and social-care evaluation. It establishes a collaboration agenda, not completed outcomes.</w:t>
      </w:r>
    </w:p>
    <w:p>
      <w:pPr>
        <w:spacing w:after="100"/>
      </w:pPr>
      <w:r>
        <w:rPr>
          <w:sz w:val="18"/>
        </w:rPr>
        <w:t xml:space="preserve">Source link  </w:t>
      </w:r>
      <w:hyperlink r:id="rId11">
        <w:r>
          <w:t>University of Manchester announcement</w:t>
        </w:r>
      </w:hyperlink>
    </w:p>
    <w:p>
      <w:pPr>
        <w:pStyle w:val="Heading2"/>
        <w:keepNext/>
      </w:pPr>
      <w:r>
        <w:rPr>
          <w:color w:val="000000"/>
        </w:rPr>
        <w:t>US Bureau of Labor Statistics</w:t>
      </w:r>
    </w:p>
    <w:p>
      <w:r>
        <w:t>Occupational Outlook Handbook, Security Guards and Gambling Surveillance Officers, Duties. Used to distinguish patrol from other guard responsibilities. Occupational evidence does not prove robot substitution or quantify site savings.</w:t>
      </w:r>
    </w:p>
    <w:p>
      <w:pPr>
        <w:spacing w:after="100"/>
      </w:pPr>
      <w:r>
        <w:rPr>
          <w:sz w:val="18"/>
        </w:rPr>
        <w:t xml:space="preserve">Source link  </w:t>
      </w:r>
      <w:hyperlink r:id="rId12">
        <w:r>
          <w:t>US Bureau of Labor Statistics</w:t>
        </w:r>
      </w:hyperlink>
    </w:p>
    <w:p>
      <w:pPr>
        <w:pStyle w:val="Heading2"/>
        <w:keepNext/>
      </w:pPr>
      <w:r>
        <w:rPr>
          <w:color w:val="000000"/>
        </w:rPr>
        <w:t>National Institute of Standards and Technology</w:t>
      </w:r>
    </w:p>
    <w:p>
      <w:r>
        <w:t>AI Risk Management Framework, voluntary guidance. Used as a diligence lens for context-specific trustworthiness and evaluation. It is not a legal mandate, robot safety certification or assessment of InGen products.</w:t>
      </w:r>
    </w:p>
    <w:p>
      <w:pPr>
        <w:spacing w:after="100"/>
      </w:pPr>
      <w:r>
        <w:rPr>
          <w:sz w:val="18"/>
        </w:rPr>
        <w:t xml:space="preserve">Source link  </w:t>
      </w:r>
      <w:hyperlink r:id="rId13">
        <w:r>
          <w:t>National Institute of Standards and Technology</w:t>
        </w:r>
      </w:hyperlink>
    </w:p>
    <w:p>
      <w:pPr>
        <w:pStyle w:val="Heading2"/>
        <w:keepNext/>
      </w:pPr>
      <w:r>
        <w:rPr>
          <w:color w:val="000000"/>
        </w:rPr>
        <w:t>Federal Trade Commission</w:t>
      </w:r>
    </w:p>
    <w:p>
      <w:r>
        <w:t>Complying with COPPA Frequently Asked Questions, including connected devices and schools. Used to identify children’s-data review as a commercial diligence issue. The page directs readers to the revised Rule; applicability requires the actual data flows and service context.</w:t>
      </w:r>
    </w:p>
    <w:p>
      <w:pPr>
        <w:spacing w:after="100"/>
      </w:pPr>
      <w:r>
        <w:rPr>
          <w:sz w:val="18"/>
        </w:rPr>
        <w:t xml:space="preserve">Source link  </w:t>
      </w:r>
      <w:hyperlink r:id="rId14">
        <w:r>
          <w:t>Federal Trade Commission</w:t>
        </w:r>
      </w:hyperlink>
    </w:p>
    <w:p>
      <w:pPr>
        <w:pStyle w:val="Heading2"/>
        <w:keepNext/>
      </w:pPr>
      <w:r>
        <w:rPr>
          <w:color w:val="000000"/>
        </w:rPr>
        <w:t>Internal programme instructions</w:t>
      </w:r>
    </w:p>
    <w:p>
      <w:r>
        <w:t>Internship Plan for Yufei Li and BA Concepts Primer. Used for scope, platform priorities and working archetypes. These instructions do not establish customer demand or product performance. External contact on InGen’s behalf requires prior written supervisor approval.</w:t>
      </w:r>
    </w:p>
    <w:sectPr w:rsidR="00FC693F" w:rsidRPr="0006063C" w:rsidSect="00034616">
      <w:footerReference w:type="default" r:id="rId15"/>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Yufei Li   |   W01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gendynamics.com/" TargetMode="External"/><Relationship Id="rId10" Type="http://schemas.openxmlformats.org/officeDocument/2006/relationships/hyperlink" Target="https://www.sec.gov/Archives/edgar/data/1690888/000169088826000003/ingen_form_c-ar_20251.htm" TargetMode="External"/><Relationship Id="rId11" Type="http://schemas.openxmlformats.org/officeDocument/2006/relationships/hyperlink" Target="https://www.manchester.ac.uk/about/news/the-university-of-manchester-to-collaborate-with-leading-innovator-in-ai-driven-automation-and-robotics/" TargetMode="External"/><Relationship Id="rId12" Type="http://schemas.openxmlformats.org/officeDocument/2006/relationships/hyperlink" Target="https://www.bls.gov/ooh/protective-service/security-guards.htm" TargetMode="External"/><Relationship Id="rId13" Type="http://schemas.openxmlformats.org/officeDocument/2006/relationships/hyperlink" Target="https://www.nist.gov/itl/ai-risk-management-framework" TargetMode="External"/><Relationship Id="rId14" Type="http://schemas.openxmlformats.org/officeDocument/2006/relationships/hyperlink" Target="https://www.ftc.gov/business-guidance/resources/complying-coppa-frequently-asked-questions"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Platform Business Brief</dc:title>
  <dc:subject/>
  <dc:creator>Yufei Li</dc:creator>
  <cp:keywords/>
  <dc:description>generated by python-docx</dc:description>
  <cp:lastModifiedBy/>
  <cp:revision>1</cp:revision>
  <dcterms:created xsi:type="dcterms:W3CDTF">2013-12-23T23:15:00Z</dcterms:created>
  <dcterms:modified xsi:type="dcterms:W3CDTF">2026-10-27T17:00:00Z</dcterms:modified>
  <cp:category/>
</cp:coreProperties>
</file>