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Week 1 Commercial Profiling Log</w:t>
      </w:r>
    </w:p>
    <w:p>
      <w:pPr>
        <w:pStyle w:val="Subtitle"/>
        <w:widowControl/>
      </w:pPr>
      <w:r>
        <w:t>InGen Dynamics US Commercial Assessment</w:t>
      </w:r>
    </w:p>
    <w:p>
      <w:pPr>
        <w:widowControl/>
        <w:spacing w:after="160"/>
      </w:pPr>
      <w:r>
        <w:rPr>
          <w:sz w:val="20"/>
        </w:rPr>
        <w:t>Yufei Li  |  27 October 2026</w:t>
      </w:r>
    </w:p>
    <w:p>
      <w:pPr>
        <w:pStyle w:val="Heading1"/>
        <w:widowControl/>
      </w:pPr>
      <w:r>
        <w:t>The platform I found hardest to profile</w:t>
      </w:r>
    </w:p>
    <w:p>
      <w:pPr>
        <w:widowControl/>
      </w:pPr>
      <w:r>
        <w:t>Fari was the hardest platform to profile commercially because its intended use was unclear across sources. The InGen website presents an eldercare companion in development, while its annual report dated 30 April 2026 describes a mobility and assistant platform for small-business service, hospitality and enterprise use. That difference changes the buyer, budget and alternative displaced. Manchester’s April 2025 announcement supports an elderly-care research direction, but does not establish US demand or completed customer outcomes.</w:t>
      </w:r>
    </w:p>
    <w:p>
      <w:pPr>
        <w:pStyle w:val="Heading1"/>
        <w:widowControl/>
      </w:pPr>
      <w:r>
        <w:t>Information still needed</w:t>
      </w:r>
    </w:p>
    <w:tbl>
      <w:tblPr>
        <w:tblW w:type="auto" w:w="0"/>
        <w:jc w:val="center"/>
        <w:tblLayout w:type="fixed"/>
        <w:tblLook w:firstColumn="1" w:firstRow="1" w:lastColumn="0" w:lastRow="0" w:noHBand="0" w:noVBand="1" w:val="04A0"/>
      </w:tblPr>
      <w:tblGrid>
        <w:gridCol w:w="3600"/>
        <w:gridCol w:w="6566"/>
      </w:tblGrid>
      <w:tr>
        <w:trPr>
          <w:cantSplit/>
          <w:tblHeader/>
        </w:trPr>
        <w:tc>
          <w:tcPr>
            <w:tcW w:type="dxa" w:w="3600"/>
            <w:vAlign w:val="center"/>
            <w:shd w:fill="173B5E"/>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color w:val="FFFFFF"/>
                <w:sz w:val="21"/>
              </w:rPr>
              <w:t>Missing information</w:t>
            </w:r>
          </w:p>
        </w:tc>
        <w:tc>
          <w:tcPr>
            <w:tcW w:type="dxa" w:w="6566"/>
            <w:vAlign w:val="center"/>
            <w:shd w:fill="173B5E"/>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color w:val="FFFFFF"/>
                <w:sz w:val="21"/>
              </w:rPr>
              <w:t>Why it matters commercially</w:t>
            </w:r>
          </w:p>
        </w:tc>
      </w:tr>
      <w:tr>
        <w:trPr>
          <w:cantSplit/>
        </w:trPr>
        <w:tc>
          <w:tcPr>
            <w:tcW w:type="dxa" w:w="36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Current configuration and US delivery readiness</w:t>
            </w:r>
          </w:p>
        </w:tc>
        <w:tc>
          <w:tcPr>
            <w:tcW w:type="dxa" w:w="656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Determines which use case and buyer can be evaluated.</w:t>
            </w:r>
          </w:p>
        </w:tc>
      </w:tr>
      <w:tr>
        <w:trPr>
          <w:cantSplit/>
        </w:trPr>
        <w:tc>
          <w:tcPr>
            <w:tcW w:type="dxa" w:w="3600"/>
            <w:vAlign w:val="center"/>
            <w:shd w:fill="F0F5F9"/>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Budget owner, willingness to pay and purchase terms</w:t>
            </w:r>
          </w:p>
        </w:tc>
        <w:tc>
          <w:tcPr>
            <w:tcW w:type="dxa" w:w="6566"/>
            <w:vAlign w:val="center"/>
            <w:shd w:fill="F0F5F9"/>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Separates interest from a fundable purchase and sets the revenue basis.</w:t>
            </w:r>
          </w:p>
        </w:tc>
      </w:tr>
      <w:tr>
        <w:trPr>
          <w:cantSplit/>
        </w:trPr>
        <w:tc>
          <w:tcPr>
            <w:tcW w:type="dxa" w:w="36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Voluntary repeat use and resident or family acceptance</w:t>
            </w:r>
          </w:p>
        </w:tc>
        <w:tc>
          <w:tcPr>
            <w:tcW w:type="dxa" w:w="656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Tests whether engagement adds value over existing activities.</w:t>
            </w:r>
          </w:p>
        </w:tc>
      </w:tr>
      <w:tr>
        <w:trPr>
          <w:cantSplit/>
        </w:trPr>
        <w:tc>
          <w:tcPr>
            <w:tcW w:type="dxa" w:w="3600"/>
            <w:vAlign w:val="center"/>
            <w:shd w:fill="F0F5F9"/>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Staff support time, maintenance and equipment life</w:t>
            </w:r>
          </w:p>
        </w:tc>
        <w:tc>
          <w:tcPr>
            <w:tcW w:type="dxa" w:w="6566"/>
            <w:vAlign w:val="center"/>
            <w:shd w:fill="F0F5F9"/>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line="240" w:lineRule="auto"/>
            </w:pPr>
            <w:r>
              <w:rPr>
                <w:b w:val="0"/>
                <w:color w:val="000000"/>
                <w:sz w:val="21"/>
              </w:rPr>
              <w:t>Determines the full cost of a supported service and its viability.</w:t>
            </w:r>
          </w:p>
        </w:tc>
      </w:tr>
    </w:tbl>
    <w:p>
      <w:pPr>
        <w:pStyle w:val="Heading1"/>
        <w:widowControl/>
      </w:pPr>
      <w:r>
        <w:t>The assumption I used</w:t>
      </w:r>
    </w:p>
    <w:p>
      <w:pPr>
        <w:widowControl/>
      </w:pPr>
      <w:r>
        <w:t>I retained a US senior-living facility as the working context, consistent with the platform brief. The candidate buyer is the Executive Director with a resident-life sponsor; activity staff operate sessions and residents choose whether to participate. Staff-led engagement is the primary alternative. A supported lease or service subscription after a small pilot is a candidate model. This is an open hypothesis, supported by the website and research agenda. I have assumed no price, clinical benefit, reimbursement or staffing reduction.</w:t>
      </w:r>
    </w:p>
    <w:p>
      <w:pPr>
        <w:pStyle w:val="Heading1"/>
        <w:widowControl/>
      </w:pPr>
      <w:r>
        <w:t>Validation and effect on the next stage</w:t>
      </w:r>
    </w:p>
    <w:p>
      <w:pPr>
        <w:widowControl/>
      </w:pPr>
      <w:r>
        <w:t>I will seek scope and configuration confirmation through the supervisor before building a Fari business case. In Week 4, I plan to test the buyer, acceptance and staff workload, then update the profile and register. If a care configuration is unavailable or support removes the value, I will revise or defer this case. Fari remains a secondary test outside the Week 2 security TAM. My main lesson is to settle the use case before assigning a buyer or calculating value.</w:t>
      </w:r>
    </w:p>
    <w:p>
      <w:pPr>
        <w:pStyle w:val="Heading1"/>
        <w:widowControl/>
        <w:spacing w:before="140"/>
      </w:pPr>
      <w:r>
        <w:t>Sources and continuity</w:t>
      </w:r>
    </w:p>
    <w:p>
      <w:pPr>
        <w:spacing w:after="40" w:line="240" w:lineRule="auto"/>
      </w:pPr>
      <w:hyperlink r:id="rId9">
        <w:r>
          <w:rPr>
            <w:color w:val="173B5E"/>
            <w:sz w:val="19"/>
            <w:rFonts w:ascii="Arial" w:hAnsi="Arial" w:cs="Arial" w:eastAsia="Arial"/>
          </w:rPr>
          <w:t>InGen product portfolio</w:t>
        </w:r>
      </w:hyperlink>
      <w:r>
        <w:rPr>
          <w:sz w:val="19"/>
        </w:rPr>
        <w:t xml:space="preserve">  Fari listing, reviewed 27 October 2026.</w:t>
      </w:r>
    </w:p>
    <w:p>
      <w:pPr>
        <w:spacing w:after="40" w:line="240" w:lineRule="auto"/>
      </w:pPr>
      <w:hyperlink r:id="rId10">
        <w:r>
          <w:rPr>
            <w:color w:val="173B5E"/>
            <w:sz w:val="19"/>
            <w:rFonts w:ascii="Arial" w:hAnsi="Arial" w:cs="Arial" w:eastAsia="Arial"/>
          </w:rPr>
          <w:t>InGen annual report</w:t>
        </w:r>
      </w:hyperlink>
      <w:r>
        <w:rPr>
          <w:sz w:val="19"/>
        </w:rPr>
        <w:t xml:space="preserve">  30 April 2026, Principal Products and Services.</w:t>
      </w:r>
    </w:p>
    <w:p>
      <w:pPr>
        <w:spacing w:after="40" w:line="240" w:lineRule="auto"/>
      </w:pPr>
      <w:hyperlink r:id="rId11">
        <w:r>
          <w:rPr>
            <w:color w:val="173B5E"/>
            <w:sz w:val="19"/>
            <w:rFonts w:ascii="Arial" w:hAnsi="Arial" w:cs="Arial" w:eastAsia="Arial"/>
          </w:rPr>
          <w:t>University of Manchester announcement</w:t>
        </w:r>
      </w:hyperlink>
      <w:r>
        <w:rPr>
          <w:sz w:val="19"/>
        </w:rPr>
        <w:t xml:space="preserve">  10 April 2025, research and social-care testbed.</w:t>
      </w:r>
    </w:p>
    <w:p>
      <w:pPr>
        <w:widowControl/>
        <w:spacing w:after="0"/>
      </w:pPr>
      <w:r>
        <w:rPr>
          <w:sz w:val="19"/>
        </w:rPr>
        <w:t>Aligned with the platform business brief, issue tree and the register topics Fari facility economics and Fari product/use-case alignment.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gendynamics.com/" TargetMode="External"/><Relationship Id="rId10" Type="http://schemas.openxmlformats.org/officeDocument/2006/relationships/hyperlink" Target="https://www.sec.gov/Archives/edgar/data/1690888/000169088826000003/ingen_form_c-ar_20251.htm" TargetMode="External"/><Relationship Id="rId11" Type="http://schemas.openxmlformats.org/officeDocument/2006/relationships/hyperlink" Target="https://www.manchester.ac.uk/about/news/the-university-of-manchester-to-collaborate-with-leading-innovator-in-ai-driven-automation-and-robo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Commercial Profiling Log</dc:title>
  <dc:subject>InGen Dynamics commercial profiling reflection</dc:subject>
  <dc:creator>Yufei Li</dc:creator>
  <cp:keywords>InGen Dynamics, Fari, Week 1, commercial profiling</cp:keywords>
  <dc:description>generated by python-docx</dc:description>
  <cp:lastModifiedBy/>
  <cp:revision>1</cp:revision>
  <dcterms:created xsi:type="dcterms:W3CDTF">2026-10-27T16:00:00Z</dcterms:created>
  <dcterms:modified xsi:type="dcterms:W3CDTF">2026-10-27T17:00:00Z</dcterms:modified>
  <cp:category/>
</cp:coreProperties>
</file>