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50CC" w14:textId="12AE18E4" w:rsidR="00AC34FC" w:rsidRPr="00AC34FC" w:rsidRDefault="00AC34FC" w:rsidP="00AC34FC">
      <w:pPr>
        <w:rPr>
          <w:b/>
          <w:bCs/>
        </w:rPr>
      </w:pPr>
      <w:r w:rsidRPr="00AC34FC">
        <w:rPr>
          <w:b/>
          <w:bCs/>
        </w:rPr>
        <w:t xml:space="preserve">Forecast </w:t>
      </w:r>
      <w:r>
        <w:rPr>
          <w:rFonts w:hint="eastAsia"/>
          <w:b/>
          <w:bCs/>
        </w:rPr>
        <w:t>and</w:t>
      </w:r>
      <w:r w:rsidRPr="00AC34FC">
        <w:rPr>
          <w:b/>
          <w:bCs/>
        </w:rPr>
        <w:t xml:space="preserve"> conclusion:</w:t>
      </w:r>
    </w:p>
    <w:p w14:paraId="4762AA94" w14:textId="7DEEA74E" w:rsidR="00AC34FC" w:rsidRDefault="00AC34FC" w:rsidP="00AC34FC">
      <w:r>
        <w:t>I predict the US NFC trade receivables will keep rising over the four quarters. The ARIMA model predicts the following numbers: Q3 2025: $5,712</w:t>
      </w:r>
      <w:r>
        <w:rPr>
          <w:rFonts w:ascii="Times New Roman" w:hAnsi="Times New Roman" w:cs="Times New Roman"/>
        </w:rPr>
        <w:t> </w:t>
      </w:r>
      <w:r>
        <w:t>billion; Q4 2025: $5,779</w:t>
      </w:r>
      <w:r>
        <w:rPr>
          <w:rFonts w:ascii="Times New Roman" w:hAnsi="Times New Roman" w:cs="Times New Roman"/>
        </w:rPr>
        <w:t> </w:t>
      </w:r>
      <w:r>
        <w:t>billion; Q1 2026: $5,832</w:t>
      </w:r>
      <w:r>
        <w:rPr>
          <w:rFonts w:ascii="Times New Roman" w:hAnsi="Times New Roman" w:cs="Times New Roman"/>
        </w:rPr>
        <w:t> </w:t>
      </w:r>
      <w:r>
        <w:t>billion; Q2 2026: $5,937</w:t>
      </w:r>
      <w:r>
        <w:rPr>
          <w:rFonts w:ascii="Times New Roman" w:hAnsi="Times New Roman" w:cs="Times New Roman"/>
        </w:rPr>
        <w:t> </w:t>
      </w:r>
      <w:r>
        <w:t xml:space="preserve">billion. The numbers mean the US NFC trade receivables will need working capital year. If the DSO stays the same the US NFC trade receivables will tie up cash in the AR. If the DSO goes up the cash needed for the US NFC trade receivables will grow faster. Finance should </w:t>
      </w:r>
      <w:proofErr w:type="gramStart"/>
      <w:r>
        <w:t>plan</w:t>
      </w:r>
      <w:proofErr w:type="gramEnd"/>
      <w:r>
        <w:t xml:space="preserve"> accordingly. Finance needs to look at the headroom and the collections goals.</w:t>
      </w:r>
    </w:p>
    <w:p w14:paraId="2F36C39D" w14:textId="77777777" w:rsidR="00AC34FC" w:rsidRPr="00AC34FC" w:rsidRDefault="00AC34FC" w:rsidP="00AC34FC">
      <w:pPr>
        <w:rPr>
          <w:b/>
          <w:bCs/>
        </w:rPr>
      </w:pPr>
      <w:r w:rsidRPr="00AC34FC">
        <w:rPr>
          <w:b/>
          <w:bCs/>
        </w:rPr>
        <w:t>Methodology:</w:t>
      </w:r>
    </w:p>
    <w:p w14:paraId="56542F52" w14:textId="479566C7" w:rsidR="00AC34FC" w:rsidRDefault="00AC34FC" w:rsidP="00AC34FC">
      <w:r>
        <w:rPr>
          <w:rFonts w:hint="eastAsia"/>
        </w:rPr>
        <w:t>I</w:t>
      </w:r>
      <w:r>
        <w:t xml:space="preserve"> looked at the SES method the Holt</w:t>
      </w:r>
      <w:r>
        <w:rPr>
          <w:rFonts w:ascii="Cambria Math" w:hAnsi="Cambria Math" w:cs="Cambria Math"/>
        </w:rPr>
        <w:t>‑</w:t>
      </w:r>
      <w:r>
        <w:t xml:space="preserve">Winters method and the seasonal ARIMA model using the decomposition and the ACF charts. </w:t>
      </w:r>
      <w:r>
        <w:t>I</w:t>
      </w:r>
      <w:r>
        <w:t xml:space="preserve"> chose ARIMA because ARIMA was the most accurate. The MAPE, for ARIMA was 1.70 percent while the MAPE for Holt</w:t>
      </w:r>
      <w:r>
        <w:rPr>
          <w:rFonts w:ascii="Cambria Math" w:hAnsi="Cambria Math" w:cs="Cambria Math"/>
        </w:rPr>
        <w:t>‑</w:t>
      </w:r>
      <w:r>
        <w:t>Winters was 1.79</w:t>
      </w:r>
      <w:r>
        <w:rPr>
          <w:rFonts w:hint="eastAsia"/>
        </w:rPr>
        <w:t>%</w:t>
      </w:r>
      <w:r>
        <w:t xml:space="preserve"> and the MAPE, for SES was about 2.41</w:t>
      </w:r>
      <w:r>
        <w:rPr>
          <w:rFonts w:hint="eastAsia"/>
        </w:rPr>
        <w:t>%</w:t>
      </w:r>
      <w:r>
        <w:t xml:space="preserve">. ARIMA also had </w:t>
      </w:r>
      <w:r>
        <w:t>RMSE</w:t>
      </w:r>
      <w:r>
        <w:t xml:space="preserve"> and the lowest MAE. Residual checks show near noise. This shows that ARIMA captures the trend and the mild quarterly seasonality. </w:t>
      </w:r>
      <w:r>
        <w:t>I</w:t>
      </w:r>
      <w:r>
        <w:t xml:space="preserve"> </w:t>
      </w:r>
      <w:proofErr w:type="gramStart"/>
      <w:r>
        <w:t>report</w:t>
      </w:r>
      <w:proofErr w:type="gramEnd"/>
      <w:r>
        <w:t xml:space="preserve"> the forecasts with confidence bands. </w:t>
      </w:r>
      <w:r>
        <w:t>I</w:t>
      </w:r>
      <w:r>
        <w:t xml:space="preserve"> will re</w:t>
      </w:r>
      <w:r>
        <w:rPr>
          <w:rFonts w:ascii="Cambria Math" w:hAnsi="Cambria Math" w:cs="Cambria Math"/>
        </w:rPr>
        <w:t>‑</w:t>
      </w:r>
      <w:r>
        <w:t>estimate ARIMA each quarter.</w:t>
      </w:r>
    </w:p>
    <w:p w14:paraId="76A83367" w14:textId="33573D9A" w:rsidR="00AC34FC" w:rsidRPr="00AC34FC" w:rsidRDefault="00AC34FC" w:rsidP="00AC34FC">
      <w:pPr>
        <w:rPr>
          <w:rFonts w:hint="eastAsia"/>
          <w:b/>
          <w:bCs/>
        </w:rPr>
      </w:pPr>
      <w:r w:rsidRPr="00AC34FC">
        <w:rPr>
          <w:b/>
          <w:bCs/>
        </w:rPr>
        <w:t>Data &amp; Exploration Insights</w:t>
      </w:r>
      <w:r>
        <w:rPr>
          <w:rFonts w:hint="eastAsia"/>
          <w:b/>
          <w:bCs/>
        </w:rPr>
        <w:t>:</w:t>
      </w:r>
    </w:p>
    <w:p w14:paraId="11878510" w14:textId="34E311EA" w:rsidR="00AC34FC" w:rsidRDefault="00AC34FC" w:rsidP="00AC34FC">
      <w:r>
        <w:t xml:space="preserve">The data come from the Federal Reserve Z.1. The data appear in Table L.230 called Trade Credit. The series is NFC trade receivables (FL103070005.Q). The series is quarterly and measured in billions of USD from 2000 to present. I see that the series moves upward. The series drops sharply in 2020. </w:t>
      </w:r>
      <w:proofErr w:type="gramStart"/>
      <w:r>
        <w:t>Then</w:t>
      </w:r>
      <w:proofErr w:type="gramEnd"/>
      <w:r>
        <w:t xml:space="preserve"> rebounds quickly. Seasonality is mild and stable. Q2 is a little higher. Q4 is a little lower. The ACF shows a bump, at lag 4 which matches the pattern. The adjusted line and the actual line are close. This result confirms that seasonality is present but not strong.</w:t>
      </w:r>
    </w:p>
    <w:p w14:paraId="17087BE6" w14:textId="77777777" w:rsidR="00AC34FC" w:rsidRPr="00AC34FC" w:rsidRDefault="00AC34FC" w:rsidP="00AC34FC">
      <w:pPr>
        <w:rPr>
          <w:b/>
          <w:bCs/>
        </w:rPr>
      </w:pPr>
      <w:r w:rsidRPr="00AC34FC">
        <w:rPr>
          <w:b/>
          <w:bCs/>
        </w:rPr>
        <w:t>Limitations and recommendations:</w:t>
      </w:r>
    </w:p>
    <w:p w14:paraId="5DFAA6A9" w14:textId="3B85EC2A" w:rsidR="00710F5B" w:rsidRPr="00AC34FC" w:rsidRDefault="00AC34FC" w:rsidP="00AC34FC">
      <w:r>
        <w:t>The 2020 shock could distort the fit and error tests. Treat it as an intervention so that the model does not chase the plunge and rebound. Consider using ARIMAX with simple drivers (PMI New Orders, GDP growth and interest rates) to improve accuracy. Use rolling-origin cross-validation and maintain a naïve seasonal benchmark. Publish ranges, not just points, and align collections and credit policy with the forecast bands.</w:t>
      </w:r>
    </w:p>
    <w:sectPr w:rsidR="00710F5B" w:rsidRPr="00AC34F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B"/>
    <w:rsid w:val="00683A54"/>
    <w:rsid w:val="00710F5B"/>
    <w:rsid w:val="00AC34FC"/>
    <w:rsid w:val="00D75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467B8"/>
  <w15:chartTrackingRefBased/>
  <w15:docId w15:val="{32D720DF-622F-41CC-B2AB-2FF2984D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F5B"/>
    <w:rPr>
      <w:rFonts w:eastAsiaTheme="majorEastAsia" w:cstheme="majorBidi"/>
      <w:color w:val="272727" w:themeColor="text1" w:themeTint="D8"/>
    </w:rPr>
  </w:style>
  <w:style w:type="paragraph" w:styleId="Title">
    <w:name w:val="Title"/>
    <w:basedOn w:val="Normal"/>
    <w:next w:val="Normal"/>
    <w:link w:val="TitleChar"/>
    <w:uiPriority w:val="10"/>
    <w:qFormat/>
    <w:rsid w:val="00710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F5B"/>
    <w:pPr>
      <w:spacing w:before="160"/>
      <w:jc w:val="center"/>
    </w:pPr>
    <w:rPr>
      <w:i/>
      <w:iCs/>
      <w:color w:val="404040" w:themeColor="text1" w:themeTint="BF"/>
    </w:rPr>
  </w:style>
  <w:style w:type="character" w:customStyle="1" w:styleId="QuoteChar">
    <w:name w:val="Quote Char"/>
    <w:basedOn w:val="DefaultParagraphFont"/>
    <w:link w:val="Quote"/>
    <w:uiPriority w:val="29"/>
    <w:rsid w:val="00710F5B"/>
    <w:rPr>
      <w:i/>
      <w:iCs/>
      <w:color w:val="404040" w:themeColor="text1" w:themeTint="BF"/>
    </w:rPr>
  </w:style>
  <w:style w:type="paragraph" w:styleId="ListParagraph">
    <w:name w:val="List Paragraph"/>
    <w:basedOn w:val="Normal"/>
    <w:uiPriority w:val="34"/>
    <w:qFormat/>
    <w:rsid w:val="00710F5B"/>
    <w:pPr>
      <w:ind w:left="720"/>
      <w:contextualSpacing/>
    </w:pPr>
  </w:style>
  <w:style w:type="character" w:styleId="IntenseEmphasis">
    <w:name w:val="Intense Emphasis"/>
    <w:basedOn w:val="DefaultParagraphFont"/>
    <w:uiPriority w:val="21"/>
    <w:qFormat/>
    <w:rsid w:val="00710F5B"/>
    <w:rPr>
      <w:i/>
      <w:iCs/>
      <w:color w:val="0F4761" w:themeColor="accent1" w:themeShade="BF"/>
    </w:rPr>
  </w:style>
  <w:style w:type="paragraph" w:styleId="IntenseQuote">
    <w:name w:val="Intense Quote"/>
    <w:basedOn w:val="Normal"/>
    <w:next w:val="Normal"/>
    <w:link w:val="IntenseQuoteChar"/>
    <w:uiPriority w:val="30"/>
    <w:qFormat/>
    <w:rsid w:val="00710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F5B"/>
    <w:rPr>
      <w:i/>
      <w:iCs/>
      <w:color w:val="0F4761" w:themeColor="accent1" w:themeShade="BF"/>
    </w:rPr>
  </w:style>
  <w:style w:type="character" w:styleId="IntenseReference">
    <w:name w:val="Intense Reference"/>
    <w:basedOn w:val="DefaultParagraphFont"/>
    <w:uiPriority w:val="32"/>
    <w:qFormat/>
    <w:rsid w:val="00710F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雨霏 刘</dc:creator>
  <cp:keywords/>
  <dc:description/>
  <cp:lastModifiedBy>雨霏 刘</cp:lastModifiedBy>
  <cp:revision>2</cp:revision>
  <dcterms:created xsi:type="dcterms:W3CDTF">2025-11-23T22:54:00Z</dcterms:created>
  <dcterms:modified xsi:type="dcterms:W3CDTF">2025-11-23T23:09:00Z</dcterms:modified>
</cp:coreProperties>
</file>