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CB0A8" w14:textId="77777777" w:rsidR="007C1FC4" w:rsidRDefault="00000000">
      <w:pPr>
        <w:spacing w:before="157" w:after="157" w:line="270" w:lineRule="auto"/>
      </w:pPr>
      <w:bookmarkStart w:id="0" w:name="专家会议纪要_韩国散户杠杆_去杠杆进程与科技股行情"/>
      <w:r>
        <w:rPr>
          <w:rFonts w:ascii="source serif 4" w:eastAsia="source serif 4" w:hAnsi="source serif 4" w:cs="source serif 4"/>
          <w:b/>
          <w:color w:val="000000"/>
          <w:sz w:val="39"/>
        </w:rPr>
        <w:t>专家会议纪要：韩国散户杠杆、去杠杆进程与科技股行情</w:t>
      </w:r>
      <w:bookmarkEnd w:id="0"/>
    </w:p>
    <w:p w14:paraId="23E1CE43" w14:textId="77777777" w:rsidR="007C1FC4" w:rsidRPr="00562E0B" w:rsidRDefault="00000000">
      <w:pPr>
        <w:spacing w:before="157" w:after="157" w:line="270" w:lineRule="auto"/>
        <w:rPr>
          <w:lang w:val="en-US"/>
        </w:rPr>
      </w:pPr>
      <w:bookmarkStart w:id="1" w:name="expert_call_minutes_toss_securities"/>
      <w:r w:rsidRPr="00562E0B">
        <w:rPr>
          <w:rFonts w:ascii="source serif 4" w:eastAsia="source serif 4" w:hAnsi="source serif 4" w:cs="source serif 4"/>
          <w:b/>
          <w:color w:val="000000"/>
          <w:sz w:val="39"/>
          <w:lang w:val="en-US"/>
        </w:rPr>
        <w:t>Expert Call Minutes — Toss Securities</w:t>
      </w:r>
      <w:bookmarkEnd w:id="1"/>
    </w:p>
    <w:p w14:paraId="04B0780F" w14:textId="04C6A6E4" w:rsidR="007C1FC4" w:rsidRDefault="00000000" w:rsidP="00562E0B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嘉宾</w:t>
      </w:r>
      <w:r>
        <w:rPr>
          <w:rFonts w:ascii="source serif 4" w:eastAsia="source serif 4" w:hAnsi="source serif 4" w:cs="source serif 4"/>
          <w:color w:val="000000"/>
        </w:rPr>
        <w:t>：Ha Yeong Baek（前麦肯锡；Toss证券，曾负责全球战略与美国子公司TSA Financial设立，现负责美股/韩股、期权、融券业务战略）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日期</w:t>
      </w:r>
      <w:r>
        <w:rPr>
          <w:rFonts w:ascii="source serif 4" w:eastAsia="source serif 4" w:hAnsi="source serif 4" w:cs="source serif 4"/>
          <w:color w:val="000000"/>
        </w:rPr>
        <w:t>：2026年7月11日（北京时间上午）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时长</w:t>
      </w:r>
      <w:r>
        <w:rPr>
          <w:rFonts w:ascii="source serif 4" w:eastAsia="source serif 4" w:hAnsi="source serif 4" w:cs="source serif 4"/>
          <w:color w:val="000000"/>
        </w:rPr>
        <w:t>：约75分钟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主题</w:t>
      </w:r>
      <w:r>
        <w:rPr>
          <w:rFonts w:ascii="source serif 4" w:eastAsia="source serif 4" w:hAnsi="source serif 4" w:cs="source serif 4"/>
          <w:color w:val="000000"/>
        </w:rPr>
        <w:t>：韩国散户海外杠杆ETF持仓、保证金去杠杆进程、海力士ADR、机构行为与存储</w:t>
      </w:r>
      <w:r>
        <w:rPr>
          <w:noProof/>
        </w:rPr>
      </w:r>
      <w:r>
        <w:rPr>
          <w:noProof/>
        </w:rPr>
        <w:pict w14:anchorId="735517DE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0FA99C4" w14:textId="77777777" w:rsidR="007C1FC4" w:rsidRDefault="00000000">
      <w:pPr>
        <w:spacing w:before="315" w:after="105" w:line="360" w:lineRule="auto"/>
        <w:ind w:left="-30"/>
      </w:pPr>
      <w:bookmarkStart w:id="2" w:name="核心增量信息_公开报告_新闻看不到的一线数据"/>
      <w:r>
        <w:rPr>
          <w:rFonts w:ascii="source serif 4" w:eastAsia="source serif 4" w:hAnsi="source serif 4" w:cs="source serif 4"/>
          <w:b/>
          <w:color w:val="000000"/>
          <w:sz w:val="24"/>
        </w:rPr>
        <w:t>★ 核心增量信息（公开报告/新闻看不到的一线数据）</w:t>
      </w:r>
      <w:bookmarkEnd w:id="2"/>
    </w:p>
    <w:p w14:paraId="28E99E2A" w14:textId="77777777" w:rsidR="007C1FC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资金面硬数据</w:t>
      </w:r>
    </w:p>
    <w:p w14:paraId="2565804F" w14:textId="77777777" w:rsidR="007C1FC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银行→券商资金搬家已停止</w:t>
      </w:r>
      <w:r>
        <w:rPr>
          <w:rFonts w:ascii="source serif 4" w:eastAsia="source serif 4" w:hAnsi="source serif 4" w:cs="source serif 4"/>
          <w:color w:val="000000"/>
        </w:rPr>
        <w:t>：2026年初约40-45万亿韩元 → 目前约82万亿，年内翻倍，但</w:t>
      </w:r>
      <w:r>
        <w:rPr>
          <w:rFonts w:ascii="source serif 4" w:eastAsia="source serif 4" w:hAnsi="source serif 4" w:cs="source serif 4"/>
          <w:b/>
          <w:color w:val="000000"/>
        </w:rPr>
        <w:t>流入速度已明显停滞</w:t>
      </w:r>
      <w:r>
        <w:rPr>
          <w:rFonts w:ascii="source serif 4" w:eastAsia="source serif 4" w:hAnsi="source serif 4" w:cs="source serif 4"/>
          <w:color w:val="000000"/>
        </w:rPr>
        <w:t>——行情的新增弹药泵在关闭。</w:t>
      </w:r>
    </w:p>
    <w:p w14:paraId="41F82DE1" w14:textId="77777777" w:rsidR="007C1FC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散户购买力（预托金）-20%</w:t>
      </w:r>
      <w:r>
        <w:rPr>
          <w:rFonts w:ascii="source serif 4" w:eastAsia="source serif 4" w:hAnsi="source serif 4" w:cs="source serif 4"/>
          <w:color w:val="000000"/>
        </w:rPr>
        <w:t>：一二季度约140万亿 → 目前100-110万亿，且陷入停滞。</w:t>
      </w:r>
    </w:p>
    <w:p w14:paraId="6904E465" w14:textId="77777777" w:rsidR="007C1FC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融资余额实际已降至约30万亿</w:t>
      </w:r>
      <w:r>
        <w:rPr>
          <w:rFonts w:ascii="source serif 4" w:eastAsia="source serif 4" w:hAnsi="source serif 4" w:cs="source serif 4"/>
          <w:color w:val="000000"/>
        </w:rPr>
        <w:t>（专家称"两天前"数据），较峰值39万亿</w:t>
      </w:r>
      <w:r>
        <w:rPr>
          <w:rFonts w:ascii="source serif 4" w:eastAsia="source serif 4" w:hAnsi="source serif 4" w:cs="source serif 4"/>
          <w:b/>
          <w:color w:val="000000"/>
        </w:rPr>
        <w:t>降幅20-25%</w:t>
      </w:r>
      <w:r>
        <w:rPr>
          <w:rFonts w:ascii="source serif 4" w:eastAsia="source serif 4" w:hAnsi="source serif 4" w:cs="source serif 4"/>
          <w:color w:val="000000"/>
        </w:rPr>
        <w:t>——远快于公开KOFIA数据（7/2仍报37.7万亿），去杠杆进度好于市场认知。</w:t>
      </w:r>
    </w:p>
    <w:p w14:paraId="7BBADC24" w14:textId="77777777" w:rsidR="007C1FC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监管增量</w:t>
      </w:r>
      <w:r>
        <w:rPr>
          <w:rFonts w:ascii="source serif 4" w:eastAsia="source serif 4" w:hAnsi="source serif 4" w:cs="source serif 4"/>
          <w:color w:val="000000"/>
        </w:rPr>
        <w:br/>
        <w:t xml:space="preserve">4. </w:t>
      </w:r>
      <w:r>
        <w:rPr>
          <w:rFonts w:ascii="source serif 4" w:eastAsia="source serif 4" w:hAnsi="source serif 4" w:cs="source serif 4"/>
          <w:b/>
          <w:color w:val="000000"/>
        </w:rPr>
        <w:t>杠杆ETF门槛上调幅度已内定：1,000万→3,000万韩元（3倍）</w:t>
      </w:r>
      <w:r>
        <w:rPr>
          <w:rFonts w:ascii="source serif 4" w:eastAsia="source serif 4" w:hAnsi="source serif 4" w:cs="source serif 4"/>
          <w:color w:val="000000"/>
        </w:rPr>
        <w:t>，券商已收到系统准备通知（媒体仅报道"研究上调"）；生效时间、存量是否豁免未定。</w:t>
      </w:r>
      <w:r>
        <w:rPr>
          <w:rFonts w:ascii="source serif 4" w:eastAsia="source serif 4" w:hAnsi="source serif 4" w:cs="source serif 4"/>
          <w:color w:val="000000"/>
        </w:rPr>
        <w:br/>
        <w:t xml:space="preserve">5. </w:t>
      </w:r>
      <w:r>
        <w:rPr>
          <w:rFonts w:ascii="source serif 4" w:eastAsia="source serif 4" w:hAnsi="source serif 4" w:cs="source serif 4"/>
          <w:b/>
          <w:color w:val="000000"/>
        </w:rPr>
        <w:t>新单股杠杆ETF审批已实质关闭</w:t>
      </w:r>
      <w:r>
        <w:rPr>
          <w:rFonts w:ascii="source serif 4" w:eastAsia="source serif 4" w:hAnsi="source serif 4" w:cs="source serif 4"/>
          <w:color w:val="000000"/>
        </w:rPr>
        <w:t>；但监管只能管韩国上市产品，</w:t>
      </w:r>
      <w:r>
        <w:rPr>
          <w:rFonts w:ascii="source serif 4" w:eastAsia="source serif 4" w:hAnsi="source serif 4" w:cs="source serif 4"/>
          <w:b/>
          <w:color w:val="000000"/>
        </w:rPr>
        <w:t>美国/香港杠杆ETF管不了→杠杆将外溢而非消失</w:t>
      </w:r>
      <w:r>
        <w:rPr>
          <w:rFonts w:ascii="source serif 4" w:eastAsia="source serif 4" w:hAnsi="source serif 4" w:cs="source serif 4"/>
          <w:color w:val="000000"/>
        </w:rPr>
        <w:t>。</w:t>
      </w:r>
      <w:r>
        <w:rPr>
          <w:rFonts w:ascii="source serif 4" w:eastAsia="source serif 4" w:hAnsi="source serif 4" w:cs="source serif 4"/>
          <w:color w:val="000000"/>
        </w:rPr>
        <w:br/>
        <w:t xml:space="preserve">6. </w:t>
      </w:r>
      <w:r>
        <w:rPr>
          <w:rFonts w:ascii="source serif 4" w:eastAsia="source serif 4" w:hAnsi="source serif 4" w:cs="source serif 4"/>
          <w:b/>
          <w:color w:val="000000"/>
        </w:rPr>
        <w:t>券商风控细节</w:t>
      </w:r>
      <w:r>
        <w:rPr>
          <w:rFonts w:ascii="source serif 4" w:eastAsia="source serif 4" w:hAnsi="source serif 4" w:cs="source serif 4"/>
          <w:color w:val="000000"/>
        </w:rPr>
        <w:t>：三星电子融资保证金率20%→30%（Kiwoom等），Meritz上调至60%。</w:t>
      </w:r>
    </w:p>
    <w:p w14:paraId="4A9C4F08" w14:textId="77777777" w:rsidR="007C1FC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持仓结构独家数据</w:t>
      </w:r>
      <w:r>
        <w:rPr>
          <w:rFonts w:ascii="source serif 4" w:eastAsia="source serif 4" w:hAnsi="source serif 4" w:cs="source serif 4"/>
          <w:color w:val="000000"/>
        </w:rPr>
        <w:br/>
        <w:t xml:space="preserve">7. </w:t>
      </w:r>
      <w:r>
        <w:rPr>
          <w:rFonts w:ascii="source serif 4" w:eastAsia="source serif 4" w:hAnsi="source serif 4" w:cs="source serif 4"/>
          <w:b/>
          <w:color w:val="000000"/>
        </w:rPr>
        <w:t>集中度惊人</w:t>
      </w:r>
      <w:r>
        <w:rPr>
          <w:rFonts w:ascii="source serif 4" w:eastAsia="source serif 4" w:hAnsi="source serif 4" w:cs="source serif 4"/>
          <w:color w:val="000000"/>
        </w:rPr>
        <w:t>：某单股杠杆ETF前30个散户账户持有超过20%总份额。</w:t>
      </w:r>
      <w:r>
        <w:rPr>
          <w:rFonts w:ascii="source serif 4" w:eastAsia="source serif 4" w:hAnsi="source serif 4" w:cs="source serif 4"/>
          <w:color w:val="000000"/>
        </w:rPr>
        <w:br/>
        <w:t xml:space="preserve">8. </w:t>
      </w:r>
      <w:r>
        <w:rPr>
          <w:rFonts w:ascii="source serif 4" w:eastAsia="source serif 4" w:hAnsi="source serif 4" w:cs="source serif 4"/>
          <w:b/>
          <w:color w:val="000000"/>
        </w:rPr>
        <w:t>NPS应卖未卖的缺口</w:t>
      </w:r>
      <w:r>
        <w:rPr>
          <w:rFonts w:ascii="source serif 4" w:eastAsia="source serif 4" w:hAnsi="source serif 4" w:cs="source serif 4"/>
          <w:color w:val="000000"/>
        </w:rPr>
        <w:t>：按规则日均应卖约5,000亿韩元韩股，政治施压下实际仅卖1,000-2,000亿——</w:t>
      </w:r>
      <w:r>
        <w:rPr>
          <w:rFonts w:ascii="source serif 4" w:eastAsia="source serif 4" w:hAnsi="source serif 4" w:cs="source serif 4"/>
          <w:b/>
          <w:color w:val="000000"/>
        </w:rPr>
        <w:t>每日约3,000-4,000亿的递延卖压被人为冻结</w:t>
      </w:r>
      <w:r>
        <w:rPr>
          <w:rFonts w:ascii="source serif 4" w:eastAsia="source serif 4" w:hAnsi="source serif 4" w:cs="source serif 4"/>
          <w:color w:val="000000"/>
        </w:rPr>
        <w:t>。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color w:val="000000"/>
        </w:rPr>
        <w:lastRenderedPageBreak/>
        <w:t xml:space="preserve">9. </w:t>
      </w:r>
      <w:r>
        <w:rPr>
          <w:rFonts w:ascii="source serif 4" w:eastAsia="source serif 4" w:hAnsi="source serif 4" w:cs="source serif 4"/>
          <w:b/>
          <w:color w:val="000000"/>
        </w:rPr>
        <w:t>散户已在卖首尔本股海力士/SK Square、搬去美国买ADR</w:t>
      </w:r>
      <w:r>
        <w:rPr>
          <w:rFonts w:ascii="source serif 4" w:eastAsia="source serif 4" w:hAnsi="source serif 4" w:cs="source serif 4"/>
          <w:color w:val="000000"/>
        </w:rPr>
        <w:t>（规避韩元汇率风险）；ADR首日溢价约13%+，KSD转换机制未打通前难套平。</w:t>
      </w:r>
    </w:p>
    <w:p w14:paraId="6990CCC8" w14:textId="77777777" w:rsidR="007C1FC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行为与轮动增量</w:t>
      </w:r>
      <w:r>
        <w:rPr>
          <w:rFonts w:ascii="source serif 4" w:eastAsia="source serif 4" w:hAnsi="source serif 4" w:cs="source serif 4"/>
          <w:color w:val="000000"/>
        </w:rPr>
        <w:br/>
        <w:t xml:space="preserve">10. </w:t>
      </w:r>
      <w:r>
        <w:rPr>
          <w:rFonts w:ascii="source serif 4" w:eastAsia="source serif 4" w:hAnsi="source serif 4" w:cs="source serif 4"/>
          <w:b/>
          <w:color w:val="000000"/>
        </w:rPr>
        <w:t>特斯拉时代结束</w:t>
      </w:r>
      <w:r>
        <w:rPr>
          <w:rFonts w:ascii="source serif 4" w:eastAsia="source serif 4" w:hAnsi="source serif 4" w:cs="source serif 4"/>
          <w:color w:val="000000"/>
        </w:rPr>
        <w:t>：从常年成交第一跌出前十，成交主力转为</w:t>
      </w:r>
      <w:r>
        <w:rPr>
          <w:rFonts w:ascii="source serif 4" w:eastAsia="source serif 4" w:hAnsi="source serif 4" w:cs="source serif 4"/>
          <w:b/>
          <w:color w:val="000000"/>
        </w:rPr>
        <w:t>美光、SanDisk及SOXL类产品</w:t>
      </w:r>
      <w:r>
        <w:rPr>
          <w:rFonts w:ascii="source serif 4" w:eastAsia="source serif 4" w:hAnsi="source serif 4" w:cs="source serif 4"/>
          <w:color w:val="000000"/>
        </w:rPr>
        <w:t>；SpaceX IPO单日成交约4亿美元登顶后也已跌出前十。</w:t>
      </w:r>
      <w:r>
        <w:rPr>
          <w:rFonts w:ascii="source serif 4" w:eastAsia="source serif 4" w:hAnsi="source serif 4" w:cs="source serif 4"/>
          <w:color w:val="000000"/>
        </w:rPr>
        <w:br/>
        <w:t xml:space="preserve">11. </w:t>
      </w:r>
      <w:r>
        <w:rPr>
          <w:rFonts w:ascii="source serif 4" w:eastAsia="source serif 4" w:hAnsi="source serif 4" w:cs="source serif 4"/>
          <w:b/>
          <w:color w:val="000000"/>
        </w:rPr>
        <w:t>近两周行为切换</w:t>
      </w:r>
      <w:r>
        <w:rPr>
          <w:rFonts w:ascii="source serif 4" w:eastAsia="source serif 4" w:hAnsi="source serif 4" w:cs="source serif 4"/>
          <w:color w:val="000000"/>
        </w:rPr>
        <w:t>：杠杆ETF成交回落，散户转为直接买正股（SanDisk等）——是"降杠杆不离场"而非投降。</w:t>
      </w:r>
      <w:r>
        <w:rPr>
          <w:rFonts w:ascii="source serif 4" w:eastAsia="source serif 4" w:hAnsi="source serif 4" w:cs="source serif 4"/>
          <w:color w:val="000000"/>
        </w:rPr>
        <w:br/>
        <w:t xml:space="preserve">12. </w:t>
      </w:r>
      <w:r>
        <w:rPr>
          <w:rFonts w:ascii="source serif 4" w:eastAsia="source serif 4" w:hAnsi="source serif 4" w:cs="source serif 4"/>
          <w:b/>
          <w:color w:val="000000"/>
        </w:rPr>
        <w:t>韩国主动型ETF已在减半导体</w:t>
      </w:r>
      <w:r>
        <w:rPr>
          <w:rFonts w:ascii="source serif 4" w:eastAsia="source serif 4" w:hAnsi="source serif 4" w:cs="source serif 4"/>
          <w:color w:val="000000"/>
        </w:rPr>
        <w:t>（Nvidia/AMD），转买礼来等医疗、生物科技与股息/royalty income类标的；韩债10年期4-4.5%分流股市资金。</w:t>
      </w:r>
    </w:p>
    <w:p w14:paraId="730CFD8E" w14:textId="77777777" w:rsidR="007C1FC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周期时钟（专家个人判断）</w:t>
      </w:r>
      <w:r>
        <w:rPr>
          <w:rFonts w:ascii="source serif 4" w:eastAsia="source serif 4" w:hAnsi="source serif 4" w:cs="source serif 4"/>
          <w:color w:val="000000"/>
        </w:rPr>
        <w:br/>
        <w:t xml:space="preserve">13. </w:t>
      </w:r>
      <w:r>
        <w:rPr>
          <w:rFonts w:ascii="source serif 4" w:eastAsia="source serif 4" w:hAnsi="source serif 4" w:cs="source serif 4"/>
          <w:b/>
          <w:color w:val="000000"/>
        </w:rPr>
        <w:t>DRAM价格峰值约2027年四季度</w:t>
      </w:r>
      <w:r>
        <w:rPr>
          <w:rFonts w:ascii="source serif 4" w:eastAsia="source serif 4" w:hAnsi="source serif 4" w:cs="source serif 4"/>
          <w:color w:val="000000"/>
        </w:rPr>
        <w:t>（美光先扩产、海力士2028跟进），</w:t>
      </w:r>
      <w:r>
        <w:rPr>
          <w:rFonts w:ascii="source serif 4" w:eastAsia="source serif 4" w:hAnsi="source serif 4" w:cs="source serif 4"/>
          <w:b/>
          <w:color w:val="000000"/>
        </w:rPr>
        <w:t>股价峰值提前至2026年底-2027年一季度</w:t>
      </w:r>
      <w:r>
        <w:rPr>
          <w:rFonts w:ascii="source serif 4" w:eastAsia="source serif 4" w:hAnsi="source serif 4" w:cs="source serif 4"/>
          <w:color w:val="000000"/>
        </w:rPr>
        <w:t>——隐含未来两个季度是存储股最后主升段。</w:t>
      </w:r>
    </w:p>
    <w:p w14:paraId="546815D0" w14:textId="77777777" w:rsidR="007C1FC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24E5AF9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819B5B0" w14:textId="77777777" w:rsidR="007C1FC4" w:rsidRDefault="00000000">
      <w:pPr>
        <w:spacing w:before="315" w:after="105" w:line="360" w:lineRule="auto"/>
        <w:ind w:left="-30"/>
      </w:pPr>
      <w:bookmarkStart w:id="3" w:name="一_核心结论速览_key_takeaways"/>
      <w:r>
        <w:rPr>
          <w:rFonts w:ascii="source serif 4" w:eastAsia="source serif 4" w:hAnsi="source serif 4" w:cs="source serif 4"/>
          <w:b/>
          <w:color w:val="000000"/>
          <w:sz w:val="24"/>
        </w:rPr>
        <w:t>一、核心结论速览（Key Takeaways）</w:t>
      </w:r>
      <w:bookmarkEnd w:id="3"/>
    </w:p>
    <w:p w14:paraId="4D5BF4B5" w14:textId="77777777" w:rsidR="007C1FC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去杠杆已过初段、快于公开数据</w:t>
      </w:r>
      <w:r>
        <w:rPr>
          <w:rFonts w:ascii="source serif 4" w:eastAsia="source serif 4" w:hAnsi="source serif 4" w:cs="source serif 4"/>
          <w:color w:val="000000"/>
        </w:rPr>
        <w:t>：融资余额从峰值约39万亿韩元降至约30万亿（两天前口径），</w:t>
      </w:r>
      <w:r>
        <w:rPr>
          <w:rFonts w:ascii="source serif 4" w:eastAsia="source serif 4" w:hAnsi="source serif 4" w:cs="source serif 4"/>
          <w:b/>
          <w:color w:val="000000"/>
        </w:rPr>
        <w:t>降幅约20-25%</w:t>
      </w:r>
      <w:r>
        <w:rPr>
          <w:rFonts w:ascii="source serif 4" w:eastAsia="source serif 4" w:hAnsi="source serif 4" w:cs="source serif 4"/>
          <w:color w:val="000000"/>
        </w:rPr>
        <w:t>，明显低于7/2公开的37.7万亿——去杠杆比市场基于KOFIA数据的认知走得更快。</w:t>
      </w:r>
    </w:p>
    <w:p w14:paraId="5BC7A070" w14:textId="77777777" w:rsidR="007C1FC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散户购买力在耗竭</w:t>
      </w:r>
      <w:r>
        <w:rPr>
          <w:rFonts w:ascii="source serif 4" w:eastAsia="source serif 4" w:hAnsi="source serif 4" w:cs="source serif 4"/>
          <w:color w:val="000000"/>
        </w:rPr>
        <w:t>：全市场散户可动用资金（预托金口径）从一二季度约140万亿韩元降至100-110万亿，</w:t>
      </w:r>
      <w:r>
        <w:rPr>
          <w:rFonts w:ascii="source serif 4" w:eastAsia="source serif 4" w:hAnsi="source serif 4" w:cs="source serif 4"/>
          <w:b/>
          <w:color w:val="000000"/>
        </w:rPr>
        <w:t>下降约20%并陷入停滞</w:t>
      </w:r>
      <w:r>
        <w:rPr>
          <w:rFonts w:ascii="source serif 4" w:eastAsia="source serif 4" w:hAnsi="source serif 4" w:cs="source serif 4"/>
          <w:color w:val="000000"/>
        </w:rPr>
        <w:t>；银行→券商的资金搬家增速也已停滞。</w:t>
      </w:r>
    </w:p>
    <w:p w14:paraId="1462DCFB" w14:textId="77777777" w:rsidR="007C1FC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行为模式是"冻结"而非"投降"</w:t>
      </w:r>
      <w:r>
        <w:rPr>
          <w:rFonts w:ascii="source serif 4" w:eastAsia="source serif 4" w:hAnsi="source serif 4" w:cs="source serif 4"/>
          <w:color w:val="000000"/>
        </w:rPr>
        <w:t>：杠杆ETF成交近两周边际回落，但散户是</w:t>
      </w:r>
      <w:r>
        <w:rPr>
          <w:rFonts w:ascii="source serif 4" w:eastAsia="source serif 4" w:hAnsi="source serif 4" w:cs="source serif 4"/>
          <w:b/>
          <w:color w:val="000000"/>
        </w:rPr>
        <w:t>停止交易/转买正股（如直接买SanDisk）</w:t>
      </w:r>
      <w:r>
        <w:rPr>
          <w:rFonts w:ascii="source serif 4" w:eastAsia="source serif 4" w:hAnsi="source serif 4" w:cs="source serif 4"/>
          <w:color w:val="000000"/>
        </w:rPr>
        <w:t>，而非主动卖出去杠杆；仍在逢低买海力士、三星。</w:t>
      </w:r>
    </w:p>
    <w:p w14:paraId="2FC43910" w14:textId="77777777" w:rsidR="007C1FC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监管三板斧基本确定</w:t>
      </w:r>
      <w:r>
        <w:rPr>
          <w:rFonts w:ascii="source serif 4" w:eastAsia="source serif 4" w:hAnsi="source serif 4" w:cs="source serif 4"/>
          <w:color w:val="000000"/>
        </w:rPr>
        <w:t>：①不再批准任何新的单股杠杆ETF上市；②杠杆ETF交易最低存款门槛从1,000万→</w:t>
      </w:r>
      <w:r>
        <w:rPr>
          <w:rFonts w:ascii="source serif 4" w:eastAsia="source serif 4" w:hAnsi="source serif 4" w:cs="source serif 4"/>
          <w:b/>
          <w:color w:val="000000"/>
        </w:rPr>
        <w:t>3,000万韩元</w:t>
      </w:r>
      <w:r>
        <w:rPr>
          <w:rFonts w:ascii="source serif 4" w:eastAsia="source serif 4" w:hAnsi="source serif 4" w:cs="source serif 4"/>
          <w:color w:val="000000"/>
        </w:rPr>
        <w:t>（券商已收到系统准备通知，但生效时间和细则未定）；③方向上继续收紧至散户可能无法交易韩国单股杠杆ETF。</w:t>
      </w:r>
      <w:r>
        <w:rPr>
          <w:rFonts w:ascii="source serif 4" w:eastAsia="source serif 4" w:hAnsi="source serif 4" w:cs="source serif 4"/>
          <w:b/>
          <w:color w:val="000000"/>
        </w:rPr>
        <w:t>监管只能管韩国上市产品，管不了美国/香港的杠杆ETF</w:t>
      </w:r>
      <w:r>
        <w:rPr>
          <w:rFonts w:ascii="source serif 4" w:eastAsia="source serif 4" w:hAnsi="source serif 4" w:cs="source serif 4"/>
          <w:color w:val="000000"/>
        </w:rPr>
        <w:t>——杠杆将外溢至境外。</w:t>
      </w:r>
    </w:p>
    <w:p w14:paraId="15CDF747" w14:textId="77777777" w:rsidR="007C1FC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NPS的卖压被政治冻结</w:t>
      </w:r>
      <w:r>
        <w:rPr>
          <w:rFonts w:ascii="source serif 4" w:eastAsia="source serif 4" w:hAnsi="source serif 4" w:cs="source serif 4"/>
          <w:color w:val="000000"/>
        </w:rPr>
        <w:t>：按再平衡规则NPS本应每日卖出约5,000亿韩元韩股，但政府施压+理事长公开表态短期不卖，</w:t>
      </w:r>
      <w:r>
        <w:rPr>
          <w:rFonts w:ascii="source serif 4" w:eastAsia="source serif 4" w:hAnsi="source serif 4" w:cs="source serif 4"/>
          <w:b/>
          <w:color w:val="000000"/>
        </w:rPr>
        <w:t>实际每日仅卖1,000-2,000亿</w:t>
      </w:r>
      <w:r>
        <w:rPr>
          <w:rFonts w:ascii="source serif 4" w:eastAsia="source serif 4" w:hAnsi="source serif 4" w:cs="source serif 4"/>
          <w:color w:val="000000"/>
        </w:rPr>
        <w:t>——8,000-9,000点位有政治托底成分，但递延卖压仍在。</w:t>
      </w:r>
    </w:p>
    <w:p w14:paraId="199417D1" w14:textId="77777777" w:rsidR="007C1FC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海力士ADR溢价约13%+</w:t>
      </w:r>
      <w:r>
        <w:rPr>
          <w:rFonts w:ascii="source serif 4" w:eastAsia="source serif 4" w:hAnsi="source serif 4" w:cs="source serif 4"/>
          <w:color w:val="000000"/>
        </w:rPr>
        <w:t>（相对首尔上周五收盘），高于TSMC ADR惯常水平；溢价根源是</w:t>
      </w:r>
      <w:r>
        <w:rPr>
          <w:rFonts w:ascii="source serif 4" w:eastAsia="source serif 4" w:hAnsi="source serif 4" w:cs="source serif 4"/>
          <w:b/>
          <w:color w:val="000000"/>
        </w:rPr>
        <w:t>KSD的本股→ADR转换机制尚未打通</w:t>
      </w:r>
      <w:r>
        <w:rPr>
          <w:rFonts w:ascii="source serif 4" w:eastAsia="source serif 4" w:hAnsi="source serif 4" w:cs="source serif 4"/>
          <w:color w:val="000000"/>
        </w:rPr>
        <w:t>，套利通道不通；专家认为长期不会维持大溢价。本土散户已在卖首尔本股海力士/SK Square、搬去美国直接买ADR（规避韩元汇率风险）。</w:t>
      </w:r>
    </w:p>
    <w:p w14:paraId="6162692B" w14:textId="77777777" w:rsidR="007C1FC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存储周期观点（个人判断）</w:t>
      </w:r>
      <w:r>
        <w:rPr>
          <w:rFonts w:ascii="source serif 4" w:eastAsia="source serif 4" w:hAnsi="source serif 4" w:cs="source serif 4"/>
          <w:color w:val="000000"/>
        </w:rPr>
        <w:t>：DRAM价格峰值约在</w:t>
      </w:r>
      <w:r>
        <w:rPr>
          <w:rFonts w:ascii="source serif 4" w:eastAsia="source serif 4" w:hAnsi="source serif 4" w:cs="source serif 4"/>
          <w:b/>
          <w:color w:val="000000"/>
        </w:rPr>
        <w:t>2027年四季度</w:t>
      </w:r>
      <w:r>
        <w:rPr>
          <w:rFonts w:ascii="source serif 4" w:eastAsia="source serif 4" w:hAnsi="source serif 4" w:cs="source serif 4"/>
          <w:color w:val="000000"/>
        </w:rPr>
        <w:t>（美光先扩产、海力士2028年跟进），但</w:t>
      </w:r>
      <w:r>
        <w:rPr>
          <w:rFonts w:ascii="source serif 4" w:eastAsia="source serif 4" w:hAnsi="source serif 4" w:cs="source serif 4"/>
          <w:b/>
          <w:color w:val="000000"/>
        </w:rPr>
        <w:t>股价峰值会提前至2026年底-2027年一季度</w:t>
      </w:r>
      <w:r>
        <w:rPr>
          <w:rFonts w:ascii="source serif 4" w:eastAsia="source serif 4" w:hAnsi="source serif 4" w:cs="source serif 4"/>
          <w:color w:val="000000"/>
        </w:rPr>
        <w:t>；LTA长约+大厂capex持续至2027+非大厂需求（国家级数据中心、金融科技公司自建GPU）使本轮超级周期长于以往2-3年。</w:t>
      </w:r>
    </w:p>
    <w:p w14:paraId="176971F6" w14:textId="77777777" w:rsidR="007C1FC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散户美股交易版图剧变</w:t>
      </w:r>
      <w:r>
        <w:rPr>
          <w:rFonts w:ascii="source serif 4" w:eastAsia="source serif 4" w:hAnsi="source serif 4" w:cs="source serif 4"/>
          <w:color w:val="000000"/>
        </w:rPr>
        <w:t>：特斯拉从常年成交第一跌出前十，</w:t>
      </w:r>
      <w:r>
        <w:rPr>
          <w:rFonts w:ascii="source serif 4" w:eastAsia="source serif 4" w:hAnsi="source serif 4" w:cs="source serif 4"/>
          <w:b/>
          <w:color w:val="000000"/>
        </w:rPr>
        <w:t>成交主力已转为美光、SanDisk、SOXL类产品</w:t>
      </w:r>
      <w:r>
        <w:rPr>
          <w:rFonts w:ascii="source serif 4" w:eastAsia="source serif 4" w:hAnsi="source serif 4" w:cs="source serif 4"/>
          <w:color w:val="000000"/>
        </w:rPr>
        <w:t>；SpaceX IPO时曾单日成交约4亿美元登顶，现也跌出前十。</w:t>
      </w:r>
    </w:p>
    <w:p w14:paraId="4345ADF4" w14:textId="77777777" w:rsidR="007C1FC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韩国机构在撤退半导体</w:t>
      </w:r>
      <w:r>
        <w:rPr>
          <w:rFonts w:ascii="source serif 4" w:eastAsia="source serif 4" w:hAnsi="source serif 4" w:cs="source serif 4"/>
          <w:color w:val="000000"/>
        </w:rPr>
        <w:t>：本土主动型ETF已减仓Nvidia/AMD等，转向礼来等医疗保健、生物科技和股息/特许权收益类标的；韩债10年期利率升至4-4.5%也在分流股票资金。</w:t>
      </w:r>
    </w:p>
    <w:p w14:paraId="632F3D55" w14:textId="77777777" w:rsidR="007C1FC4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海力士vs三星轮动</w:t>
      </w:r>
      <w:r>
        <w:rPr>
          <w:rFonts w:ascii="source serif 4" w:eastAsia="source serif 4" w:hAnsi="source serif 4" w:cs="source serif 4"/>
          <w:color w:val="000000"/>
        </w:rPr>
        <w:t>：专家认为Q2海力士的超额表现是</w:t>
      </w:r>
      <w:r>
        <w:rPr>
          <w:rFonts w:ascii="source serif 4" w:eastAsia="source serif 4" w:hAnsi="source serif 4" w:cs="source serif 4"/>
          <w:b/>
          <w:color w:val="000000"/>
        </w:rPr>
        <w:t>非理性杠杆资金选beta的结果</w:t>
      </w:r>
      <w:r>
        <w:rPr>
          <w:rFonts w:ascii="source serif 4" w:eastAsia="source serif 4" w:hAnsi="source serif 4" w:cs="source serif 4"/>
          <w:color w:val="000000"/>
        </w:rPr>
        <w:t>（纯半导体+高波动），近期海力士自高点回落20-25%后，市场转向三星追赶叙事（HBM4夺份额+代工传闻+代工Q3扭亏）——他认为这是</w:t>
      </w:r>
      <w:r>
        <w:rPr>
          <w:rFonts w:ascii="source serif 4" w:eastAsia="source serif 4" w:hAnsi="source serif 4" w:cs="source serif 4"/>
          <w:b/>
          <w:color w:val="000000"/>
        </w:rPr>
        <w:t>交易性/估值修复，非基本面反转</w:t>
      </w:r>
      <w:r>
        <w:rPr>
          <w:rFonts w:ascii="source serif 4" w:eastAsia="source serif 4" w:hAnsi="source serif 4" w:cs="source serif 4"/>
          <w:color w:val="000000"/>
        </w:rPr>
        <w:t>。</w:t>
      </w:r>
    </w:p>
    <w:p w14:paraId="2650E1F6" w14:textId="77777777" w:rsidR="007C1FC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D72B68D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7F96C6B" w14:textId="77777777" w:rsidR="007C1FC4" w:rsidRDefault="00000000">
      <w:pPr>
        <w:spacing w:before="315" w:after="105" w:line="360" w:lineRule="auto"/>
        <w:ind w:left="-30"/>
      </w:pPr>
      <w:bookmarkStart w:id="4" w:name="二_toss证券业务概况"/>
      <w:r>
        <w:rPr>
          <w:rFonts w:ascii="source serif 4" w:eastAsia="source serif 4" w:hAnsi="source serif 4" w:cs="source serif 4"/>
          <w:b/>
          <w:color w:val="000000"/>
          <w:sz w:val="24"/>
        </w:rPr>
        <w:t>二、Toss证券业务概况</w:t>
      </w:r>
      <w:bookmarkEnd w:id="4"/>
    </w:p>
    <w:p w14:paraId="06C0F461" w14:textId="77777777" w:rsidR="007C1FC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海外股票经纪韩国第一</w:t>
      </w:r>
      <w:r>
        <w:rPr>
          <w:rFonts w:ascii="source serif 4" w:eastAsia="source serif 4" w:hAnsi="source serif 4" w:cs="source serif 4"/>
          <w:color w:val="000000"/>
        </w:rPr>
        <w:t>（以美股为主）；韩国本土股票经纪原排名10-12位，今年上半年升至约</w:t>
      </w:r>
      <w:r>
        <w:rPr>
          <w:rFonts w:ascii="source serif 4" w:eastAsia="source serif 4" w:hAnsi="source serif 4" w:cs="source serif 4"/>
          <w:b/>
          <w:color w:val="000000"/>
        </w:rPr>
        <w:t>第5位</w:t>
      </w:r>
      <w:r>
        <w:rPr>
          <w:rFonts w:ascii="source serif 4" w:eastAsia="source serif 4" w:hAnsi="source serif 4" w:cs="source serif 4"/>
          <w:color w:val="000000"/>
        </w:rPr>
        <w:t>，月度韩股成交约</w:t>
      </w:r>
      <w:r>
        <w:rPr>
          <w:rFonts w:ascii="source serif 4" w:eastAsia="source serif 4" w:hAnsi="source serif 4" w:cs="source serif 4"/>
          <w:b/>
          <w:color w:val="000000"/>
        </w:rPr>
        <w:t>150-170万亿韩元</w:t>
      </w:r>
      <w:r>
        <w:rPr>
          <w:rFonts w:ascii="source serif 4" w:eastAsia="source serif 4" w:hAnsi="source serif 4" w:cs="source serif 4"/>
          <w:color w:val="000000"/>
        </w:rPr>
        <w:t>。</w:t>
      </w:r>
    </w:p>
    <w:p w14:paraId="336BE6DC" w14:textId="77777777" w:rsidR="007C1FC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客户结构变迁：早期以无经验新手为主，现专业交易者和高频交易者占比持续上升，客户画像趋近Kiwoom（키움），以短线高频为主，非长期机构型。</w:t>
      </w:r>
    </w:p>
    <w:p w14:paraId="4D84538C" w14:textId="77777777" w:rsidR="007C1FC4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杠杆ETF发行商（Direxion等资管）主动在Toss平台投放推广，视韩国散户为核心客群。</w:t>
      </w:r>
    </w:p>
    <w:p w14:paraId="68860297" w14:textId="77777777" w:rsidR="007C1FC4" w:rsidRDefault="00000000">
      <w:pPr>
        <w:spacing w:before="315" w:after="105" w:line="360" w:lineRule="auto"/>
        <w:ind w:left="-30"/>
      </w:pPr>
      <w:bookmarkStart w:id="5" w:name="三_韩国散户的海外杠杆etf持仓与行为"/>
      <w:r>
        <w:rPr>
          <w:rFonts w:ascii="source serif 4" w:eastAsia="source serif 4" w:hAnsi="source serif 4" w:cs="source serif 4"/>
          <w:b/>
          <w:color w:val="000000"/>
          <w:sz w:val="24"/>
        </w:rPr>
        <w:t>三、韩国散户的海外杠杆ETF持仓与行为</w:t>
      </w:r>
      <w:bookmarkEnd w:id="5"/>
    </w:p>
    <w:p w14:paraId="781E47CC" w14:textId="77777777" w:rsidR="007C1FC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集中度极高</w:t>
      </w:r>
      <w:r>
        <w:rPr>
          <w:rFonts w:ascii="source serif 4" w:eastAsia="source serif 4" w:hAnsi="source serif 4" w:cs="source serif 4"/>
          <w:color w:val="000000"/>
        </w:rPr>
        <w:t>：某单股杠杆ETF中，</w:t>
      </w:r>
      <w:r>
        <w:rPr>
          <w:rFonts w:ascii="source serif 4" w:eastAsia="source serif 4" w:hAnsi="source serif 4" w:cs="source serif 4"/>
          <w:b/>
          <w:color w:val="000000"/>
        </w:rPr>
        <w:t>前30个散户账户持有超过20%的总份额</w:t>
      </w:r>
      <w:r>
        <w:rPr>
          <w:rFonts w:ascii="source serif 4" w:eastAsia="source serif 4" w:hAnsi="source serif 4" w:cs="source serif 4"/>
          <w:color w:val="000000"/>
        </w:rPr>
        <w:t>。主持人引用的"韩国投资者持有TQQQ约15%、SOXL逾20%"比例，专家未否认并确认韩国是美股杠杆ETF最大的交易来源地之一。</w:t>
      </w:r>
    </w:p>
    <w:p w14:paraId="3CB5615C" w14:textId="77777777" w:rsidR="007C1FC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香港上市的单股杠杆产品</w:t>
      </w:r>
      <w:r>
        <w:rPr>
          <w:rFonts w:ascii="source serif 4" w:eastAsia="source serif 4" w:hAnsi="source serif 4" w:cs="source serif 4"/>
          <w:color w:val="000000"/>
        </w:rPr>
        <w:t>（法兴报告提及的三星/海力士杠杆ETF）在韩国仅少数券商（三星证券、未来资产等）可交易，</w:t>
      </w:r>
      <w:r>
        <w:rPr>
          <w:rFonts w:ascii="source serif 4" w:eastAsia="source serif 4" w:hAnsi="source serif 4" w:cs="source serif 4"/>
          <w:b/>
          <w:color w:val="000000"/>
        </w:rPr>
        <w:t>成交贡献不大</w:t>
      </w:r>
      <w:r>
        <w:rPr>
          <w:rFonts w:ascii="source serif 4" w:eastAsia="source serif 4" w:hAnsi="source serif 4" w:cs="source serif 4"/>
          <w:color w:val="000000"/>
        </w:rPr>
        <w:t>；韩国散户主战场在美国上市杠杆ETF。</w:t>
      </w:r>
    </w:p>
    <w:p w14:paraId="1564D0D4" w14:textId="77777777" w:rsidR="007C1FC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成交结构</w:t>
      </w:r>
      <w:r>
        <w:rPr>
          <w:rFonts w:ascii="source serif 4" w:eastAsia="source serif 4" w:hAnsi="source serif 4" w:cs="source serif 4"/>
          <w:color w:val="000000"/>
        </w:rPr>
        <w:t>：二季度几乎每天的成交额前十都被杠杆ETF占据——SOXL、TQQQ、以及</w:t>
      </w:r>
      <w:r>
        <w:rPr>
          <w:rFonts w:ascii="source serif 4" w:eastAsia="source serif 4" w:hAnsi="source serif 4" w:cs="source serif 4"/>
          <w:b/>
          <w:color w:val="000000"/>
        </w:rPr>
        <w:t>SanDisk、美光的单股杠杆ETF</w:t>
      </w:r>
      <w:r>
        <w:rPr>
          <w:rFonts w:ascii="source serif 4" w:eastAsia="source serif 4" w:hAnsi="source serif 4" w:cs="source serif 4"/>
          <w:color w:val="000000"/>
        </w:rPr>
        <w:t>；韩国本土的海力士/三星杠杆ETF同样火爆。</w:t>
      </w:r>
    </w:p>
    <w:p w14:paraId="57AC16A7" w14:textId="77777777" w:rsidR="007C1FC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近两周边际变化</w:t>
      </w:r>
      <w:r>
        <w:rPr>
          <w:rFonts w:ascii="source serif 4" w:eastAsia="source serif 4" w:hAnsi="source serif 4" w:cs="source serif 4"/>
          <w:color w:val="000000"/>
        </w:rPr>
        <w:t>：杠杆ETF成交量小幅回落，散户转向**直接买正股（SanDisk等）**而非杠杆产品；但仍在买KORU等杠杆产品，整体是"降速"而非"离场"。</w:t>
      </w:r>
    </w:p>
    <w:p w14:paraId="7FEDE300" w14:textId="77777777" w:rsidR="007C1FC4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长期趋势判断</w:t>
      </w:r>
      <w:r>
        <w:rPr>
          <w:rFonts w:ascii="source serif 4" w:eastAsia="source serif 4" w:hAnsi="source serif 4" w:cs="source serif 4"/>
          <w:color w:val="000000"/>
        </w:rPr>
        <w:t>：散户交易范式已永久迁移——从"买正股长期持有"转向</w:t>
      </w:r>
      <w:r>
        <w:rPr>
          <w:rFonts w:ascii="source serif 4" w:eastAsia="source serif 4" w:hAnsi="source serif 4" w:cs="source serif 4"/>
          <w:b/>
          <w:color w:val="000000"/>
        </w:rPr>
        <w:t>杠杆ETF、期权、期货甚至永续合约</w:t>
      </w:r>
      <w:r>
        <w:rPr>
          <w:rFonts w:ascii="source serif 4" w:eastAsia="source serif 4" w:hAnsi="source serif 4" w:cs="source serif 4"/>
          <w:color w:val="000000"/>
        </w:rPr>
        <w:t>等高杠杆工具，这是一代人的结构性变化。</w:t>
      </w:r>
    </w:p>
    <w:p w14:paraId="642A6B23" w14:textId="77777777" w:rsidR="007C1FC4" w:rsidRDefault="00000000">
      <w:pPr>
        <w:spacing w:before="315" w:after="105" w:line="360" w:lineRule="auto"/>
        <w:ind w:left="-30"/>
      </w:pPr>
      <w:bookmarkStart w:id="6" w:name="四_去杠杆进程与购买力"/>
      <w:r>
        <w:rPr>
          <w:rFonts w:ascii="source serif 4" w:eastAsia="source serif 4" w:hAnsi="source serif 4" w:cs="source serif 4"/>
          <w:b/>
          <w:color w:val="000000"/>
          <w:sz w:val="24"/>
        </w:rPr>
        <w:t>四、去杠杆进程与购买力</w:t>
      </w:r>
      <w:bookmarkEnd w:id="6"/>
    </w:p>
    <w:p w14:paraId="4A5D0C89" w14:textId="77777777" w:rsidR="007C1FC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融资余额</w:t>
      </w:r>
      <w:r>
        <w:rPr>
          <w:rFonts w:ascii="source serif 4" w:eastAsia="source serif 4" w:hAnsi="source serif 4" w:cs="source serif 4"/>
          <w:color w:val="000000"/>
        </w:rPr>
        <w:t>：峰值约39万亿韩元 → 两天前约</w:t>
      </w:r>
      <w:r>
        <w:rPr>
          <w:rFonts w:ascii="source serif 4" w:eastAsia="source serif 4" w:hAnsi="source serif 4" w:cs="source serif 4"/>
          <w:b/>
          <w:color w:val="000000"/>
        </w:rPr>
        <w:t>30万亿</w:t>
      </w:r>
      <w:r>
        <w:rPr>
          <w:rFonts w:ascii="source serif 4" w:eastAsia="source serif 4" w:hAnsi="source serif 4" w:cs="source serif 4"/>
          <w:color w:val="000000"/>
        </w:rPr>
        <w:t>，降幅约20-25%</w:t>
      </w:r>
      <m:oMath>
        <m:r>
          <m:rPr>
            <m:sty m:val="p"/>
          </m:rPr>
          <w:rPr>
            <w:rFonts w:ascii="Cambria Math" w:hAnsi="Cambria Math"/>
            <w:color w:val="000000"/>
          </w:rPr>
          <m:t>口径为专家口述</m:t>
        </m:r>
        <m:r>
          <w:rPr>
            <w:rFonts w:ascii="Cambria Math" w:hAnsi="Cambria Math"/>
            <w:color w:val="000000"/>
          </w:rPr>
          <m:t>，</m:t>
        </m:r>
        <m:r>
          <m:rPr>
            <m:sty m:val="p"/>
          </m:rPr>
          <w:rPr>
            <w:rFonts w:ascii="Cambria Math" w:hAnsi="Cambria Math"/>
            <w:color w:val="000000"/>
          </w:rPr>
          <m:t>快于</m:t>
        </m:r>
        <m:r>
          <w:rPr>
            <w:rFonts w:ascii="Cambria Math" w:hAnsi="Cambria Math"/>
            <w:color w:val="000000"/>
          </w:rPr>
          <m:t>KOFIA</m:t>
        </m:r>
        <m:r>
          <m:rPr>
            <m:sty m:val="p"/>
          </m:rPr>
          <w:rPr>
            <w:rFonts w:ascii="Cambria Math" w:hAnsi="Cambria Math"/>
            <w:color w:val="000000"/>
          </w:rPr>
          <m:t>公开数据</m:t>
        </m:r>
        <m:r>
          <w:rPr>
            <w:rFonts w:ascii="Cambria Math" w:hAnsi="Cambria Math"/>
            <w:color w:val="000000"/>
          </w:rPr>
          <m:t>（</m:t>
        </m:r>
        <m:r>
          <m:rPr>
            <m:sty m:val="p"/>
          </m:rPr>
          <w:rPr>
            <w:rFonts w:ascii="Cambria Math" w:hAnsi="Cambria Math"/>
            <w:color w:val="000000"/>
          </w:rPr>
          <m:t>7/2为37.7万亿</m:t>
        </m:r>
        <m:r>
          <w:rPr>
            <w:rFonts w:ascii="Cambria Math" w:hAnsi="Cambria Math"/>
            <w:color w:val="000000"/>
          </w:rPr>
          <m:t>），</m:t>
        </m:r>
        <m:r>
          <m:rPr>
            <m:sty m:val="p"/>
          </m:rPr>
          <w:rPr>
            <w:rFonts w:ascii="Cambria Math" w:hAnsi="Cambria Math"/>
            <w:color w:val="000000"/>
          </w:rPr>
          <m:t>可能包含更近期数据或不同统计口径</m:t>
        </m:r>
        <m:r>
          <w:rPr>
            <w:rFonts w:ascii="Cambria Math" w:hAnsi="Cambria Math"/>
            <w:color w:val="000000"/>
          </w:rPr>
          <m:t>，</m:t>
        </m:r>
        <m:r>
          <m:rPr>
            <m:sty m:val="p"/>
          </m:rPr>
          <w:rPr>
            <w:rFonts w:ascii="Cambria Math" w:hAnsi="Cambria Math"/>
            <w:color w:val="000000"/>
          </w:rPr>
          <m:t>需交叉验证</m:t>
        </m:r>
      </m:oMath>
      <w:r>
        <w:rPr>
          <w:rFonts w:ascii="source serif 4" w:eastAsia="source serif 4" w:hAnsi="source serif 4" w:cs="source serif 4"/>
          <w:color w:val="000000"/>
        </w:rPr>
        <w:t>。KOSPI跌破关键点位（约7,500-8,000区间</w:t>
      </w:r>
      <m:oMath>
        <m:r>
          <m:rPr>
            <m:sty m:val="p"/>
          </m:rPr>
          <w:rPr>
            <w:rFonts w:ascii="Cambria Math" w:hAnsi="Cambria Math"/>
            <w:color w:val="000000"/>
          </w:rPr>
          <m:t>转写存疑</m:t>
        </m:r>
      </m:oMath>
      <w:r>
        <w:rPr>
          <w:rFonts w:ascii="source serif 4" w:eastAsia="source serif 4" w:hAnsi="source serif 4" w:cs="source serif 4"/>
          <w:color w:val="000000"/>
        </w:rPr>
        <w:t>）时触发了集中降杠杆。</w:t>
      </w:r>
    </w:p>
    <w:p w14:paraId="6EB6B00B" w14:textId="77777777" w:rsidR="007C1FC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散户购买力（预托金）</w:t>
      </w:r>
      <w:r>
        <w:rPr>
          <w:rFonts w:ascii="source serif 4" w:eastAsia="source serif 4" w:hAnsi="source serif 4" w:cs="source serif 4"/>
          <w:color w:val="000000"/>
        </w:rPr>
        <w:t>：一二季度约140万亿韩元 → 目前</w:t>
      </w:r>
      <w:r>
        <w:rPr>
          <w:rFonts w:ascii="source serif 4" w:eastAsia="source serif 4" w:hAnsi="source serif 4" w:cs="source serif 4"/>
          <w:b/>
          <w:color w:val="000000"/>
        </w:rPr>
        <w:t>100-110万亿，降约20%</w:t>
      </w:r>
      <w:r>
        <w:rPr>
          <w:rFonts w:ascii="source serif 4" w:eastAsia="source serif 4" w:hAnsi="source serif 4" w:cs="source serif 4"/>
          <w:color w:val="000000"/>
        </w:rPr>
        <w:t>，且增长停滞。</w:t>
      </w:r>
    </w:p>
    <w:p w14:paraId="718C92C0" w14:textId="77777777" w:rsidR="007C1FC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资金搬家</w:t>
      </w:r>
      <w:r>
        <w:rPr>
          <w:rFonts w:ascii="source serif 4" w:eastAsia="source serif 4" w:hAnsi="source serif 4" w:cs="source serif 4"/>
          <w:color w:val="000000"/>
        </w:rPr>
        <w:t>：2026年初银行→券商资金约40-45万亿，目前约82万亿</w:t>
      </w:r>
      <m:oMath>
        <m:r>
          <m:rPr>
            <m:sty m:val="p"/>
          </m:rPr>
          <w:rPr>
            <w:rFonts w:ascii="Cambria Math" w:hAnsi="Cambria Math"/>
            <w:color w:val="000000"/>
          </w:rPr>
          <m:t>转写存疑</m:t>
        </m:r>
        <m:r>
          <w:rPr>
            <w:rFonts w:ascii="Cambria Math" w:hAnsi="Cambria Math"/>
            <w:color w:val="000000"/>
          </w:rPr>
          <m:t>，</m:t>
        </m:r>
        <m:r>
          <m:rPr>
            <m:sty m:val="p"/>
          </m:rPr>
          <w:rPr>
            <w:rFonts w:ascii="Cambria Math" w:hAnsi="Cambria Math"/>
            <w:color w:val="000000"/>
          </w:rPr>
          <m:t>或为预托金总额口径</m:t>
        </m:r>
      </m:oMath>
      <w:r>
        <w:rPr>
          <w:rFonts w:ascii="source serif 4" w:eastAsia="source serif 4" w:hAnsi="source serif 4" w:cs="source serif 4"/>
          <w:color w:val="000000"/>
        </w:rPr>
        <w:t>，但</w:t>
      </w:r>
      <w:r>
        <w:rPr>
          <w:rFonts w:ascii="source serif 4" w:eastAsia="source serif 4" w:hAnsi="source serif 4" w:cs="source serif 4"/>
          <w:b/>
          <w:color w:val="000000"/>
        </w:rPr>
        <w:t>流入速度已停滞</w:t>
      </w:r>
      <w:r>
        <w:rPr>
          <w:rFonts w:ascii="source serif 4" w:eastAsia="source serif 4" w:hAnsi="source serif 4" w:cs="source serif 4"/>
          <w:color w:val="000000"/>
        </w:rPr>
        <w:t>。</w:t>
      </w:r>
    </w:p>
    <w:p w14:paraId="38E6BA39" w14:textId="77777777" w:rsidR="007C1FC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券商风控收紧</w:t>
      </w:r>
      <w:r>
        <w:rPr>
          <w:rFonts w:ascii="source serif 4" w:eastAsia="source serif 4" w:hAnsi="source serif 4" w:cs="source serif 4"/>
          <w:color w:val="000000"/>
        </w:rPr>
        <w:t>：多家券商上调保证金比例——三星电子（股票）的融资保证金率由20%上调至30%（Kiwoom等），</w:t>
      </w:r>
      <w:r>
        <w:rPr>
          <w:rFonts w:ascii="source serif 4" w:eastAsia="source serif 4" w:hAnsi="source serif 4" w:cs="source serif 4"/>
          <w:b/>
          <w:color w:val="000000"/>
        </w:rPr>
        <w:t>Meritz上调至60%</w:t>
      </w:r>
      <m:oMath>
        <m:r>
          <m:rPr>
            <m:sty m:val="p"/>
          </m:rPr>
          <w:rPr>
            <w:rFonts w:ascii="Cambria Math" w:hAnsi="Cambria Math"/>
            <w:color w:val="000000"/>
          </w:rPr>
          <m:t>券商名转写存疑</m:t>
        </m:r>
      </m:oMath>
      <w:r>
        <w:rPr>
          <w:rFonts w:ascii="source serif 4" w:eastAsia="source serif 4" w:hAnsi="source serif 4" w:cs="source serif 4"/>
          <w:color w:val="000000"/>
        </w:rPr>
        <w:t>。</w:t>
      </w:r>
    </w:p>
    <w:p w14:paraId="0682FAE5" w14:textId="77777777" w:rsidR="007C1FC4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专家阶段判断</w:t>
      </w:r>
      <w:r>
        <w:rPr>
          <w:rFonts w:ascii="source serif 4" w:eastAsia="source serif 4" w:hAnsi="source serif 4" w:cs="source serif 4"/>
          <w:color w:val="000000"/>
        </w:rPr>
        <w:t>：去杠杆"仍在进行但已在放缓"；相对韩股总市值，30万亿融资余额"占比很小"，倾向</w:t>
      </w:r>
      <w:r>
        <w:rPr>
          <w:rFonts w:ascii="source serif 4" w:eastAsia="source serif 4" w:hAnsi="source serif 4" w:cs="source serif 4"/>
          <w:b/>
          <w:color w:val="000000"/>
        </w:rPr>
        <w:t>软着陆、逐步企稳</w:t>
      </w:r>
      <w:r>
        <w:rPr>
          <w:rFonts w:ascii="source serif 4" w:eastAsia="source serif 4" w:hAnsi="source serif 4" w:cs="source serif 4"/>
          <w:color w:val="000000"/>
        </w:rPr>
        <w:t>，理由：卖正股买杠杆ETF的增量资金链路已断+监管收紧，尾盘（15:30）再平衡引发的巨震将缓解。</w:t>
      </w:r>
    </w:p>
    <w:p w14:paraId="69DFE307" w14:textId="77777777" w:rsidR="007C1FC4" w:rsidRDefault="00000000">
      <w:pPr>
        <w:spacing w:before="315" w:after="105" w:line="360" w:lineRule="auto"/>
        <w:ind w:left="-30"/>
      </w:pPr>
      <w:bookmarkStart w:id="7" w:name="五_监管动向_重要增量信息"/>
      <w:r>
        <w:rPr>
          <w:rFonts w:ascii="source serif 4" w:eastAsia="source serif 4" w:hAnsi="source serif 4" w:cs="source serif 4"/>
          <w:b/>
          <w:color w:val="000000"/>
          <w:sz w:val="24"/>
        </w:rPr>
        <w:t>五、监管动向（重要增量信息）</w:t>
      </w:r>
      <w:bookmarkEnd w:id="7"/>
    </w:p>
    <w:p w14:paraId="4D157A74" w14:textId="77777777" w:rsidR="007C1FC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不再批准新的单股杠杆ETF上市</w:t>
      </w:r>
      <w:r>
        <w:rPr>
          <w:rFonts w:ascii="source serif 4" w:eastAsia="source serif 4" w:hAnsi="source serif 4" w:cs="source serif 4"/>
          <w:color w:val="000000"/>
        </w:rPr>
        <w:t>——韩国资管公司新发产品基本无望。</w:t>
      </w:r>
    </w:p>
    <w:p w14:paraId="4C079818" w14:textId="77777777" w:rsidR="007C1FC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杠杆ETF最低存款门槛：1,000万→3,000万韩元</w:t>
      </w:r>
      <w:r>
        <w:rPr>
          <w:rFonts w:ascii="source serif 4" w:eastAsia="source serif 4" w:hAnsi="source serif 4" w:cs="source serif 4"/>
          <w:color w:val="000000"/>
        </w:rPr>
        <w:t>。监管已通知券商准备系统，但</w:t>
      </w:r>
      <w:r>
        <w:rPr>
          <w:rFonts w:ascii="source serif 4" w:eastAsia="source serif 4" w:hAnsi="source serif 4" w:cs="source serif 4"/>
          <w:b/>
          <w:color w:val="000000"/>
        </w:rPr>
        <w:t>未明确生效时间与最终参数</w:t>
      </w:r>
      <w:r>
        <w:rPr>
          <w:rFonts w:ascii="source serif 4" w:eastAsia="source serif 4" w:hAnsi="source serif 4" w:cs="source serif 4"/>
          <w:color w:val="000000"/>
        </w:rPr>
        <w:t>；存量持仓是否豁免（grandfathering）亦无定论。</w:t>
      </w:r>
    </w:p>
    <w:p w14:paraId="5A62B665" w14:textId="77777777" w:rsidR="007C1FC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政策方向是持续收紧，直至散户实质上难以交易韩国单股杠杆ETF。</w:t>
      </w:r>
    </w:p>
    <w:p w14:paraId="17FC2D31" w14:textId="77777777" w:rsidR="007C1FC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管辖边界</w:t>
      </w:r>
      <w:r>
        <w:rPr>
          <w:rFonts w:ascii="source serif 4" w:eastAsia="source serif 4" w:hAnsi="source serif 4" w:cs="source serif 4"/>
          <w:color w:val="000000"/>
        </w:rPr>
        <w:t>：措施仅限韩国上市产品，</w:t>
      </w:r>
      <w:r>
        <w:rPr>
          <w:rFonts w:ascii="source serif 4" w:eastAsia="source serif 4" w:hAnsi="source serif 4" w:cs="source serif 4"/>
          <w:b/>
          <w:color w:val="000000"/>
        </w:rPr>
        <w:t>无法约束美国/香港上市的杠杆ETF</w:t>
      </w:r>
      <w:r>
        <w:rPr>
          <w:rFonts w:ascii="source serif 4" w:eastAsia="source serif 4" w:hAnsi="source serif 4" w:cs="source serif 4"/>
          <w:color w:val="000000"/>
        </w:rPr>
        <w:t>——资金大概率外溢至SOXL/TQQQ/SKUU等境外产品（对Toss这类美股平台反而有利）。</w:t>
      </w:r>
    </w:p>
    <w:p w14:paraId="405E64E0" w14:textId="77777777" w:rsidR="007C1FC4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关于"杠杆ETF与海力士正股的螺旋"：专家认为风险有限，因为该类ETF及期货的对手盘/成交主力是</w:t>
      </w:r>
      <w:r>
        <w:rPr>
          <w:rFonts w:ascii="source serif 4" w:eastAsia="source serif 4" w:hAnsi="source serif 4" w:cs="source serif 4"/>
          <w:b/>
          <w:color w:val="000000"/>
        </w:rPr>
        <w:t>机构和做市商而非散户</w:t>
      </w:r>
      <w:r>
        <w:rPr>
          <w:rFonts w:ascii="source serif 4" w:eastAsia="source serif 4" w:hAnsi="source serif 4" w:cs="source serif 4"/>
          <w:color w:val="000000"/>
        </w:rPr>
        <w:t>，对正股有扰动但非主导。</w:t>
      </w:r>
    </w:p>
    <w:p w14:paraId="0050C86F" w14:textId="77777777" w:rsidR="007C1FC4" w:rsidRDefault="00000000">
      <w:pPr>
        <w:spacing w:before="315" w:after="105" w:line="360" w:lineRule="auto"/>
        <w:ind w:left="-30"/>
      </w:pPr>
      <w:bookmarkStart w:id="8" w:name="六_海力士adr"/>
      <w:r>
        <w:rPr>
          <w:rFonts w:ascii="source serif 4" w:eastAsia="source serif 4" w:hAnsi="source serif 4" w:cs="source serif 4"/>
          <w:b/>
          <w:color w:val="000000"/>
          <w:sz w:val="24"/>
        </w:rPr>
        <w:t>六、海力士ADR</w:t>
      </w:r>
      <w:bookmarkEnd w:id="8"/>
    </w:p>
    <w:p w14:paraId="362602BF" w14:textId="77777777" w:rsidR="007C1FC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首日溢价约13%+</w:t>
      </w:r>
      <w:r>
        <w:rPr>
          <w:rFonts w:ascii="source serif 4" w:eastAsia="source serif 4" w:hAnsi="source serif 4" w:cs="source serif 4"/>
          <w:color w:val="000000"/>
        </w:rPr>
        <w:t>（ADR定价相对首尔上周五收盘，1 ADR=1/10股），高于TSMC ADR通常约10%的溢价水平。</w:t>
      </w:r>
    </w:p>
    <w:p w14:paraId="6B442A9C" w14:textId="77777777" w:rsidR="007C1FC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溢价根源</w:t>
      </w:r>
      <w:r>
        <w:rPr>
          <w:rFonts w:ascii="source serif 4" w:eastAsia="source serif 4" w:hAnsi="source serif 4" w:cs="source serif 4"/>
          <w:color w:val="000000"/>
        </w:rPr>
        <w:t>：韩股→ADR的</w:t>
      </w:r>
      <w:r>
        <w:rPr>
          <w:rFonts w:ascii="source serif 4" w:eastAsia="source serif 4" w:hAnsi="source serif 4" w:cs="source serif 4"/>
          <w:b/>
          <w:color w:val="000000"/>
        </w:rPr>
        <w:t>转换/结算机制尚未打通</w:t>
      </w:r>
      <w:r>
        <w:rPr>
          <w:rFonts w:ascii="source serif 4" w:eastAsia="source serif 4" w:hAnsi="source serif 4" w:cs="source serif 4"/>
          <w:color w:val="000000"/>
        </w:rPr>
        <w:t>——SK海力士正与KSD（预托结算院）协商压缩溢价的转换流程，但"is not fixed"。政府已认识到：通道不通→溢价持续→外资干脆撤出KOSPI去美国交易。</w:t>
      </w:r>
    </w:p>
    <w:p w14:paraId="31238701" w14:textId="77777777" w:rsidR="007C1FC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估值逻辑</w:t>
      </w:r>
      <w:r>
        <w:rPr>
          <w:rFonts w:ascii="source serif 4" w:eastAsia="source serif 4" w:hAnsi="source serif 4" w:cs="source serif 4"/>
          <w:color w:val="000000"/>
        </w:rPr>
        <w:t>：美光P/E约为海力士2倍，ADR存在向美国存储同业**重估（re-rating）**的空间。</w:t>
      </w:r>
    </w:p>
    <w:p w14:paraId="3AFEED3B" w14:textId="77777777" w:rsidR="007C1FC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本土资金行为</w:t>
      </w:r>
      <w:r>
        <w:rPr>
          <w:rFonts w:ascii="source serif 4" w:eastAsia="source serif 4" w:hAnsi="source serif 4" w:cs="source serif 4"/>
          <w:color w:val="000000"/>
        </w:rPr>
        <w:t>：韩国散户已在</w:t>
      </w:r>
      <w:r>
        <w:rPr>
          <w:rFonts w:ascii="source serif 4" w:eastAsia="source serif 4" w:hAnsi="source serif 4" w:cs="source serif 4"/>
          <w:b/>
          <w:color w:val="000000"/>
        </w:rPr>
        <w:t>卖出首尔上市的海力士和SK Square、把资金搬到美国直接买ADR</w:t>
      </w:r>
      <w:r>
        <w:rPr>
          <w:rFonts w:ascii="source serif 4" w:eastAsia="source serif 4" w:hAnsi="source serif 4" w:cs="source serif 4"/>
          <w:color w:val="000000"/>
        </w:rPr>
        <w:t>，动机包括规避韩元汇率风险——对KRX是实质抽血。</w:t>
      </w:r>
    </w:p>
    <w:p w14:paraId="60DFCF4B" w14:textId="77777777" w:rsidR="007C1FC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机构维度</w:t>
      </w:r>
      <w:r>
        <w:rPr>
          <w:rFonts w:ascii="source serif 4" w:eastAsia="source serif 4" w:hAnsi="source serif 4" w:cs="source serif 4"/>
          <w:color w:val="000000"/>
        </w:rPr>
        <w:t>：NPS等本土公募受国内配置口径与政治约束，</w:t>
      </w:r>
      <w:r>
        <w:rPr>
          <w:rFonts w:ascii="source serif 4" w:eastAsia="source serif 4" w:hAnsi="source serif 4" w:cs="source serif 4"/>
          <w:b/>
          <w:color w:val="000000"/>
        </w:rPr>
        <w:t>很难去美国市场买ADR</w:t>
      </w:r>
      <w:r>
        <w:rPr>
          <w:rFonts w:ascii="source serif 4" w:eastAsia="source serif 4" w:hAnsi="source serif 4" w:cs="source serif 4"/>
          <w:color w:val="000000"/>
        </w:rPr>
        <w:t>，压力反而是继续在韩国本土持有/买入；若无此约束它们本可以买ADR。</w:t>
      </w:r>
    </w:p>
    <w:p w14:paraId="05204871" w14:textId="77777777" w:rsidR="007C1FC4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长期判断</w:t>
      </w:r>
      <w:r>
        <w:rPr>
          <w:rFonts w:ascii="source serif 4" w:eastAsia="source serif 4" w:hAnsi="source serif 4" w:cs="source serif 4"/>
          <w:color w:val="000000"/>
        </w:rPr>
        <w:t>：溢价不会长期维持在高位（但收敛依赖转换机制落地，无明确时间表）。</w:t>
      </w:r>
    </w:p>
    <w:p w14:paraId="4287C282" w14:textId="77777777" w:rsidR="007C1FC4" w:rsidRDefault="00000000">
      <w:pPr>
        <w:spacing w:before="315" w:after="105" w:line="360" w:lineRule="auto"/>
        <w:ind w:left="-30"/>
      </w:pPr>
      <w:bookmarkStart w:id="9" w:name="七_机构行为_nps_本土机构与外资"/>
      <w:r>
        <w:rPr>
          <w:rFonts w:ascii="source serif 4" w:eastAsia="source serif 4" w:hAnsi="source serif 4" w:cs="source serif 4"/>
          <w:b/>
          <w:color w:val="000000"/>
          <w:sz w:val="24"/>
        </w:rPr>
        <w:t>七、机构行为：NPS、本土机构与外资</w:t>
      </w:r>
      <w:bookmarkEnd w:id="9"/>
    </w:p>
    <w:p w14:paraId="6D3DDC8D" w14:textId="77777777" w:rsidR="007C1FC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NPS再平衡被政治冻结</w:t>
      </w:r>
      <w:r>
        <w:rPr>
          <w:rFonts w:ascii="source serif 4" w:eastAsia="source serif 4" w:hAnsi="source serif 4" w:cs="source serif 4"/>
          <w:color w:val="000000"/>
        </w:rPr>
        <w:t>：按组合规则NPS需减持韩股（超配约8%</w:t>
      </w:r>
      <m:oMath>
        <m:r>
          <m:rPr>
            <m:sty m:val="p"/>
          </m:rPr>
          <w:rPr>
            <w:rFonts w:ascii="Cambria Math" w:hAnsi="Cambria Math"/>
            <w:color w:val="000000"/>
          </w:rPr>
          <m:t>转写存疑</m:t>
        </m:r>
      </m:oMath>
      <w:r>
        <w:rPr>
          <w:rFonts w:ascii="source serif 4" w:eastAsia="source serif 4" w:hAnsi="source serif 4" w:cs="source serif 4"/>
          <w:color w:val="000000"/>
        </w:rPr>
        <w:t>），对应</w:t>
      </w:r>
      <w:r>
        <w:rPr>
          <w:rFonts w:ascii="source serif 4" w:eastAsia="source serif 4" w:hAnsi="source serif 4" w:cs="source serif 4"/>
          <w:b/>
          <w:color w:val="000000"/>
        </w:rPr>
        <w:t>每日约5,000亿韩元的应卖规模</w:t>
      </w:r>
      <w:r>
        <w:rPr>
          <w:rFonts w:ascii="source serif 4" w:eastAsia="source serif 4" w:hAnsi="source serif 4" w:cs="source serif 4"/>
          <w:color w:val="000000"/>
        </w:rPr>
        <w:t>；但政府施压下，理事长公开表态短期不卖，</w:t>
      </w:r>
      <w:r>
        <w:rPr>
          <w:rFonts w:ascii="source serif 4" w:eastAsia="source serif 4" w:hAnsi="source serif 4" w:cs="source serif 4"/>
          <w:b/>
          <w:color w:val="000000"/>
        </w:rPr>
        <w:t>实际每日仅卖出1,000-2,000亿</w:t>
      </w:r>
      <w:r>
        <w:rPr>
          <w:rFonts w:ascii="source serif 4" w:eastAsia="source serif 4" w:hAnsi="source serif 4" w:cs="source serif 4"/>
          <w:color w:val="000000"/>
        </w:rPr>
        <w:t>——对市场冲击被人为压低。长期方向仍是降低韩股占比，只是速度远慢于规则隐含水平。</w:t>
      </w:r>
    </w:p>
    <w:p w14:paraId="7942F991" w14:textId="77777777" w:rsidR="007C1FC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本土机构下半年策略</w:t>
      </w:r>
      <w:r>
        <w:rPr>
          <w:rFonts w:ascii="source serif 4" w:eastAsia="source serif 4" w:hAnsi="source serif 4" w:cs="source serif 4"/>
          <w:color w:val="000000"/>
        </w:rPr>
        <w:t>：上半年KOSPI从约4,000涨至8,000-9,000，共识是韩股继续上行空间有限，机构将在</w:t>
      </w:r>
      <w:r>
        <w:rPr>
          <w:rFonts w:ascii="source serif 4" w:eastAsia="source serif 4" w:hAnsi="source serif 4" w:cs="source serif 4"/>
          <w:b/>
          <w:color w:val="000000"/>
        </w:rPr>
        <w:t>下半年把配置从韩股移向美股</w:t>
      </w:r>
      <w:r>
        <w:rPr>
          <w:rFonts w:ascii="source serif 4" w:eastAsia="source serif 4" w:hAnsi="source serif 4" w:cs="source serif 4"/>
          <w:color w:val="000000"/>
        </w:rPr>
        <w:t>。</w:t>
      </w:r>
    </w:p>
    <w:p w14:paraId="196D22B2" w14:textId="77777777" w:rsidR="007C1FC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本土主动资金已在减半导体</w:t>
      </w:r>
      <w:r>
        <w:rPr>
          <w:rFonts w:ascii="source serif 4" w:eastAsia="source serif 4" w:hAnsi="source serif 4" w:cs="source serif 4"/>
          <w:color w:val="000000"/>
        </w:rPr>
        <w:t>：韩国的美股主动ETF（KODEX active等）已减持Nvidia、AMD等，转买</w:t>
      </w:r>
      <w:r>
        <w:rPr>
          <w:rFonts w:ascii="source serif 4" w:eastAsia="source serif 4" w:hAnsi="source serif 4" w:cs="source serif 4"/>
          <w:b/>
          <w:color w:val="000000"/>
        </w:rPr>
        <w:t>礼来等医疗保健、生物科技、股息/特许权收益（royalty income）类</w:t>
      </w:r>
      <w:r>
        <w:rPr>
          <w:rFonts w:ascii="source serif 4" w:eastAsia="source serif 4" w:hAnsi="source serif 4" w:cs="source serif 4"/>
          <w:color w:val="000000"/>
        </w:rPr>
        <w:t>标的以降低半导体beta。</w:t>
      </w:r>
    </w:p>
    <w:p w14:paraId="0AD8B340" w14:textId="77777777" w:rsidR="007C1FC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外资/对冲基金</w:t>
      </w:r>
      <w:r>
        <w:rPr>
          <w:rFonts w:ascii="source serif 4" w:eastAsia="source serif 4" w:hAnsi="source serif 4" w:cs="source serif 4"/>
          <w:color w:val="000000"/>
        </w:rPr>
        <w:t>：全球对冲基金同样在从半导体移向医疗保健等防御板块；韩国半导体自高点回落约20%后，短期难回前高。</w:t>
      </w:r>
      <w:r>
        <w:rPr>
          <w:rFonts w:ascii="source serif 4" w:eastAsia="source serif 4" w:hAnsi="source serif 4" w:cs="source serif 4"/>
          <w:b/>
          <w:color w:val="000000"/>
        </w:rPr>
        <w:t>韩国10年期国债利率升至4-4.5%</w:t>
      </w:r>
      <w:r>
        <w:rPr>
          <w:rFonts w:ascii="source serif 4" w:eastAsia="source serif 4" w:hAnsi="source serif 4" w:cs="source serif 4"/>
          <w:color w:val="000000"/>
        </w:rPr>
        <w:t>，股→债的再配置吸引力上升。</w:t>
      </w:r>
    </w:p>
    <w:p w14:paraId="366154A6" w14:textId="77777777" w:rsidR="007C1FC4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外资"连续净卖出但持股占比未明显下降"的表象，专家基本认可（卖出集中在部分权重股，被散户承接）。</w:t>
      </w:r>
    </w:p>
    <w:p w14:paraId="4EF93933" w14:textId="77777777" w:rsidR="007C1FC4" w:rsidRDefault="00000000">
      <w:pPr>
        <w:spacing w:before="315" w:after="105" w:line="360" w:lineRule="auto"/>
        <w:ind w:left="-30"/>
      </w:pPr>
      <w:bookmarkStart w:id="10" w:name="八_存储周期与海力士vs三星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八、存储周期与海力士vs三星</w:t>
      </w:r>
      <w:bookmarkEnd w:id="10"/>
    </w:p>
    <w:p w14:paraId="4A142BA6" w14:textId="77777777" w:rsidR="007C1FC4" w:rsidRDefault="00000000">
      <w:pPr>
        <w:spacing w:before="315" w:after="105" w:line="360" w:lineRule="auto"/>
        <w:ind w:left="-30"/>
      </w:pPr>
      <w:bookmarkStart w:id="11" w:name="存储周期_专家个人观点"/>
      <w:r>
        <w:rPr>
          <w:rFonts w:ascii="source serif 4" w:eastAsia="source serif 4" w:hAnsi="source serif 4" w:cs="source serif 4"/>
          <w:b/>
          <w:color w:val="000000"/>
          <w:sz w:val="24"/>
        </w:rPr>
        <w:t>存储周期（专家个人观点）</w:t>
      </w:r>
      <w:bookmarkEnd w:id="11"/>
    </w:p>
    <w:p w14:paraId="02DB5C25" w14:textId="77777777" w:rsidR="007C1FC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历史规律：存储股价</w:t>
      </w:r>
      <w:r>
        <w:rPr>
          <w:rFonts w:ascii="source serif 4" w:eastAsia="source serif 4" w:hAnsi="source serif 4" w:cs="source serif 4"/>
          <w:b/>
          <w:color w:val="000000"/>
        </w:rPr>
        <w:t>先于</w:t>
      </w:r>
      <w:r>
        <w:rPr>
          <w:rFonts w:ascii="source serif 4" w:eastAsia="source serif 4" w:hAnsi="source serif 4" w:cs="source serif 4"/>
          <w:color w:val="000000"/>
        </w:rPr>
        <w:t>DRAM现货价格见顶（市场预判涨价→扩产→peak-out，提前卖出）。</w:t>
      </w:r>
    </w:p>
    <w:p w14:paraId="346AACF1" w14:textId="77777777" w:rsidR="007C1FC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本轮不同点：①</w:t>
      </w:r>
      <w:r>
        <w:rPr>
          <w:rFonts w:ascii="source serif 4" w:eastAsia="source serif 4" w:hAnsi="source serif 4" w:cs="source serif 4"/>
          <w:b/>
          <w:color w:val="000000"/>
        </w:rPr>
        <w:t>LTA长约</w:t>
      </w:r>
      <w:r>
        <w:rPr>
          <w:rFonts w:ascii="source serif 4" w:eastAsia="source serif 4" w:hAnsi="source serif 4" w:cs="source serif 4"/>
          <w:color w:val="000000"/>
        </w:rPr>
        <w:t>使定价可见度拉长至3-5年，周期性弱化；②Google、Amazon、Meta等</w:t>
      </w:r>
      <w:r>
        <w:rPr>
          <w:rFonts w:ascii="source serif 4" w:eastAsia="source serif 4" w:hAnsi="source serif 4" w:cs="source serif 4"/>
          <w:b/>
          <w:color w:val="000000"/>
        </w:rPr>
        <w:t>capex指引持续增长至2027年</w:t>
      </w:r>
      <w:r>
        <w:rPr>
          <w:rFonts w:ascii="source serif 4" w:eastAsia="source serif 4" w:hAnsi="source serif 4" w:cs="source serif 4"/>
          <w:color w:val="000000"/>
        </w:rPr>
        <w:t>；③需求不止大厂——国家级主权数据中心、以及Toss这类金融科技公司自建GPU/数据中心的"长尾需求"。</w:t>
      </w:r>
    </w:p>
    <w:p w14:paraId="7B79678D" w14:textId="77777777" w:rsidR="007C1FC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供给端</w:t>
      </w:r>
      <w:r>
        <w:rPr>
          <w:rFonts w:ascii="source serif 4" w:eastAsia="source serif 4" w:hAnsi="source serif 4" w:cs="source serif 4"/>
          <w:color w:val="000000"/>
        </w:rPr>
        <w:t>：美光先增供给（2027年四季度体现），海力士2028年跟进。</w:t>
      </w:r>
    </w:p>
    <w:p w14:paraId="7B86806F" w14:textId="77777777" w:rsidR="007C1FC4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结论</w:t>
      </w:r>
      <w:r>
        <w:rPr>
          <w:rFonts w:ascii="source serif 4" w:eastAsia="source serif 4" w:hAnsi="source serif 4" w:cs="source serif 4"/>
          <w:color w:val="000000"/>
        </w:rPr>
        <w:t>：DRAM价格峰值约</w:t>
      </w:r>
      <w:r>
        <w:rPr>
          <w:rFonts w:ascii="source serif 4" w:eastAsia="source serif 4" w:hAnsi="source serif 4" w:cs="source serif 4"/>
          <w:b/>
          <w:color w:val="000000"/>
        </w:rPr>
        <w:t>2027年四季度</w:t>
      </w:r>
      <w:r>
        <w:rPr>
          <w:rFonts w:ascii="source serif 4" w:eastAsia="source serif 4" w:hAnsi="source serif 4" w:cs="source serif 4"/>
          <w:color w:val="000000"/>
        </w:rPr>
        <w:t>；</w:t>
      </w:r>
      <w:r>
        <w:rPr>
          <w:rFonts w:ascii="source serif 4" w:eastAsia="source serif 4" w:hAnsi="source serif 4" w:cs="source serif 4"/>
          <w:b/>
          <w:color w:val="000000"/>
        </w:rPr>
        <w:t>股价峰值提前至2026年底-2027年一季度</w:t>
      </w:r>
      <w:r>
        <w:rPr>
          <w:rFonts w:ascii="source serif 4" w:eastAsia="source serif 4" w:hAnsi="source serif 4" w:cs="source serif 4"/>
          <w:color w:val="000000"/>
        </w:rPr>
        <w:t>；存储超级周期将显著长于以往的2-3年。（对海力士CEO"缺货持续到AGI到来"的说法持保留态度，认为无人能精确判断。）</w:t>
      </w:r>
    </w:p>
    <w:p w14:paraId="71FA1809" w14:textId="77777777" w:rsidR="007C1FC4" w:rsidRDefault="00000000">
      <w:pPr>
        <w:spacing w:before="315" w:after="105" w:line="360" w:lineRule="auto"/>
        <w:ind w:left="-30"/>
      </w:pPr>
      <w:bookmarkStart w:id="12" w:name="海力士_vs_三星"/>
      <w:r>
        <w:rPr>
          <w:rFonts w:ascii="source serif 4" w:eastAsia="source serif 4" w:hAnsi="source serif 4" w:cs="source serif 4"/>
          <w:b/>
          <w:color w:val="000000"/>
          <w:sz w:val="24"/>
        </w:rPr>
        <w:t>海力士 vs 三星</w:t>
      </w:r>
      <w:bookmarkEnd w:id="12"/>
    </w:p>
    <w:p w14:paraId="2278F8E6" w14:textId="77777777" w:rsidR="007C1FC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Q2海力士大涨包含</w:t>
      </w:r>
      <w:r>
        <w:rPr>
          <w:rFonts w:ascii="source serif 4" w:eastAsia="source serif 4" w:hAnsi="source serif 4" w:cs="source serif 4"/>
          <w:b/>
          <w:color w:val="000000"/>
        </w:rPr>
        <w:t>非理性成分</w:t>
      </w:r>
      <w:r>
        <w:rPr>
          <w:rFonts w:ascii="source serif 4" w:eastAsia="source serif 4" w:hAnsi="source serif 4" w:cs="source serif 4"/>
          <w:color w:val="000000"/>
        </w:rPr>
        <w:t>：杠杆资金偏好其"半导体纯度+高波动+DRAM高盈利"，4-5月杠杆ETF资金明显偏向海力士。</w:t>
      </w:r>
    </w:p>
    <w:p w14:paraId="15F14B20" w14:textId="77777777" w:rsidR="007C1FC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近期海力士自高点回落20-25%，叙事转向三星：</w:t>
      </w:r>
      <w:r>
        <w:rPr>
          <w:rFonts w:ascii="source serif 4" w:eastAsia="source serif 4" w:hAnsi="source serif 4" w:cs="source serif 4"/>
          <w:b/>
          <w:color w:val="000000"/>
        </w:rPr>
        <w:t>HBM4夺回份额+大厂（Google等）代工订单从台积电分流传闻+代工业务Q3扭亏为盈预期</w:t>
      </w:r>
      <w:r>
        <w:rPr>
          <w:rFonts w:ascii="source serif 4" w:eastAsia="source serif 4" w:hAnsi="source serif 4" w:cs="source serif 4"/>
          <w:color w:val="000000"/>
        </w:rPr>
        <w:t>。</w:t>
      </w:r>
    </w:p>
    <w:p w14:paraId="64DBCD9C" w14:textId="77777777" w:rsidR="007C1FC4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专家立场：三星近期跑赢是</w:t>
      </w:r>
      <w:r>
        <w:rPr>
          <w:rFonts w:ascii="source serif 4" w:eastAsia="source serif 4" w:hAnsi="source serif 4" w:cs="source serif 4"/>
          <w:b/>
          <w:color w:val="000000"/>
        </w:rPr>
        <w:t>交易性/估值修复</w:t>
      </w:r>
      <w:r>
        <w:rPr>
          <w:rFonts w:ascii="source serif 4" w:eastAsia="source serif 4" w:hAnsi="source serif 4" w:cs="source serif 4"/>
          <w:color w:val="000000"/>
        </w:rPr>
        <w:t>而非基本面反转；即便三星HBM份额不及预期，DDR5/LPDDR5等传统产品涨价也能支撑其盈利。他同时认为此前"海力士市值逻辑压过三星"本身就不合理，属临时现象。</w:t>
      </w:r>
    </w:p>
    <w:p w14:paraId="5F6BC258" w14:textId="77777777" w:rsidR="007C1FC4" w:rsidRDefault="00000000">
      <w:pPr>
        <w:spacing w:before="315" w:after="105" w:line="360" w:lineRule="auto"/>
        <w:ind w:left="-30"/>
      </w:pPr>
      <w:bookmarkStart w:id="13" w:name="九_散户美股交易版图变化"/>
      <w:r>
        <w:rPr>
          <w:rFonts w:ascii="source serif 4" w:eastAsia="source serif 4" w:hAnsi="source serif 4" w:cs="source serif 4"/>
          <w:b/>
          <w:color w:val="000000"/>
          <w:sz w:val="24"/>
        </w:rPr>
        <w:t>九、散户美股交易版图变化</w:t>
      </w:r>
      <w:bookmarkEnd w:id="13"/>
    </w:p>
    <w:p w14:paraId="440BA0A8" w14:textId="77777777" w:rsidR="007C1FC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特斯拉时代结束</w:t>
      </w:r>
      <w:r>
        <w:rPr>
          <w:rFonts w:ascii="source serif 4" w:eastAsia="source serif 4" w:hAnsi="source serif 4" w:cs="source serif 4"/>
          <w:color w:val="000000"/>
        </w:rPr>
        <w:t>：特斯拉（及其杠杆ETF）曾常年占据Toss美股成交第一、第二位；2026年以来</w:t>
      </w:r>
      <w:r>
        <w:rPr>
          <w:rFonts w:ascii="source serif 4" w:eastAsia="source serif 4" w:hAnsi="source serif 4" w:cs="source serif 4"/>
          <w:b/>
          <w:color w:val="000000"/>
        </w:rPr>
        <w:t>跌出前十</w:t>
      </w:r>
      <w:r>
        <w:rPr>
          <w:rFonts w:ascii="source serif 4" w:eastAsia="source serif 4" w:hAnsi="source serif 4" w:cs="source serif 4"/>
          <w:color w:val="000000"/>
        </w:rPr>
        <w:t>。</w:t>
      </w:r>
    </w:p>
    <w:p w14:paraId="0D1F1C16" w14:textId="77777777" w:rsidR="007C1FC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现在的成交主力</w:t>
      </w:r>
      <w:r>
        <w:rPr>
          <w:rFonts w:ascii="source serif 4" w:eastAsia="source serif 4" w:hAnsi="source serif 4" w:cs="source serif 4"/>
          <w:color w:val="000000"/>
        </w:rPr>
        <w:t>：美光、SanDisk及SOXL类杠杆产品——韩国散户全面转向美国存储/半导体。</w:t>
      </w:r>
    </w:p>
    <w:p w14:paraId="7D851D4E" w14:textId="77777777" w:rsidR="007C1FC4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SpaceX IPO</w:t>
      </w:r>
      <w:r>
        <w:rPr>
          <w:rFonts w:ascii="source serif 4" w:eastAsia="source serif 4" w:hAnsi="source serif 4" w:cs="source serif 4"/>
          <w:color w:val="000000"/>
        </w:rPr>
        <w:t>：上市时曾登顶Toss平台单日成交（约4亿美元），现已跌出前十；特斯拉仅在SpaceX相关消息（利好其估值）时有零星放量。专家认为散户不会重新拥抱特斯拉，兴趣集中在半导体与大科技。</w:t>
      </w:r>
    </w:p>
    <w:p w14:paraId="76C224B5" w14:textId="77777777" w:rsidR="007C1FC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5C5C9CA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10718D6" w14:textId="77777777" w:rsidR="007C1FC4" w:rsidRDefault="00000000">
      <w:pPr>
        <w:spacing w:before="315" w:after="105" w:line="360" w:lineRule="auto"/>
        <w:ind w:left="-30"/>
      </w:pPr>
      <w:bookmarkStart w:id="14" w:name="十_与公开数据的交叉验证与研究含义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十、与公开数据的交叉验证与研究含义</w:t>
      </w:r>
      <w:bookmarkEnd w:id="1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18"/>
        <w:gridCol w:w="1722"/>
        <w:gridCol w:w="5064"/>
      </w:tblGrid>
      <w:tr w:rsidR="007C1FC4" w14:paraId="021911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507E91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专家口径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145CB1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公开数据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34A7DF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含义</w:t>
            </w:r>
          </w:p>
        </w:tc>
      </w:tr>
      <w:tr w:rsidR="007C1FC4" w14:paraId="4DBB5B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BB3610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融资余额约30万亿（7/9前后）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15B62B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KOFIA 7/2为37.7万亿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FA5C80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若属实，去杠杆速度远快于公开认知，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下行强平压力已部分释放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；需等KOFIA最新数据验证</w:t>
            </w:r>
          </w:p>
        </w:tc>
      </w:tr>
      <w:tr w:rsidR="007C1FC4" w14:paraId="6FBB08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C1E970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预托金140→100-110万亿（-20%）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2547D3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BOK警示购买力集中消耗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415733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弹药耗竭在先、行情靠存量杠杆维持</w:t>
            </w:r>
          </w:p>
        </w:tc>
      </w:tr>
      <w:tr w:rsidR="007C1FC4" w14:paraId="700D94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3F5A0C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NPS实际日卖1,000-2,000亿 vs 应卖5,000亿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6E6264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NPS理事长公开表态不减持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C15CB0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8,000点附近有政治托底；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递延卖压是下半年隐性供给</w:t>
            </w:r>
          </w:p>
        </w:tc>
      </w:tr>
      <w:tr w:rsidR="007C1FC4" w14:paraId="7874D7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6D210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门槛1,000万→3,000万韩元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858FCD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媒体仅报道"研究上调"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EA52BC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增量信息：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幅度已内定为3倍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、券商已收到系统准备通知</w:t>
            </w:r>
          </w:p>
        </w:tc>
      </w:tr>
      <w:tr w:rsidR="007C1FC4" w14:paraId="13AA8A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6A147D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ADR溢价约13%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A0DD72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5C36AE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低于市场部分传闻，套利通道未通前难收敛</w:t>
            </w:r>
          </w:p>
        </w:tc>
      </w:tr>
      <w:tr w:rsidR="007C1FC4" w14:paraId="0FD648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D0535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DRAM价格峰值4Q27、股价峰值2026年底-1Q27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D889D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卖方分歧大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AEB803" w14:textId="77777777" w:rsidR="007C1FC4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隐含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未来两个季度是存储股最后主升段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的判断</w:t>
            </w:r>
          </w:p>
        </w:tc>
      </w:tr>
    </w:tbl>
    <w:p w14:paraId="2A9A936D" w14:textId="77777777" w:rsidR="007C1FC4" w:rsidRDefault="007C1FC4"/>
    <w:p w14:paraId="07168A3A" w14:textId="77777777" w:rsidR="007C1FC4" w:rsidRDefault="00000000">
      <w:pPr>
        <w:spacing w:before="315" w:after="105" w:line="360" w:lineRule="auto"/>
        <w:ind w:left="-30"/>
      </w:pPr>
      <w:bookmarkStart w:id="15" w:name="对投资的启示_整理者注"/>
      <w:r>
        <w:rPr>
          <w:rFonts w:ascii="source serif 4" w:eastAsia="source serif 4" w:hAnsi="source serif 4" w:cs="source serif 4"/>
          <w:b/>
          <w:color w:val="000000"/>
          <w:sz w:val="24"/>
        </w:rPr>
        <w:t>对投资的启示（整理者注）</w:t>
      </w:r>
      <w:bookmarkEnd w:id="15"/>
    </w:p>
    <w:p w14:paraId="06C18D71" w14:textId="77777777" w:rsidR="007C1FC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韩国杠杆对美股科技的传导渠道明确</w:t>
      </w:r>
      <w:r>
        <w:rPr>
          <w:rFonts w:ascii="source serif 4" w:eastAsia="source serif 4" w:hAnsi="source serif 4" w:cs="source serif 4"/>
          <w:color w:val="000000"/>
        </w:rPr>
        <w:t>：SOXL/TQQQ/美光/SanDisk是韩国散户集中度最高的品种，若韩国去杠杆二次加速，这些标的的边际买盘将同步收缩。</w:t>
      </w:r>
    </w:p>
    <w:p w14:paraId="4A5BEEA2" w14:textId="77777777" w:rsidR="007C1FC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监管挤出效应利好境外杠杆产品</w:t>
      </w:r>
      <w:r>
        <w:rPr>
          <w:rFonts w:ascii="source serif 4" w:eastAsia="source serif 4" w:hAnsi="source serif 4" w:cs="source serif 4"/>
          <w:color w:val="000000"/>
        </w:rPr>
        <w:t>：韩国本土单股杠杆ETF被封杀后，资金将进一步流向美国上市产品（含海力士ADR的SKUU/SKDD），韩国杠杆"出海"而非消失。</w:t>
      </w:r>
    </w:p>
    <w:p w14:paraId="43DE9ABD" w14:textId="77777777" w:rsidR="007C1FC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海力士ADR溢价交易</w:t>
      </w:r>
      <w:r>
        <w:rPr>
          <w:rFonts w:ascii="source serif 4" w:eastAsia="source serif 4" w:hAnsi="source serif 4" w:cs="source serif 4"/>
          <w:color w:val="000000"/>
        </w:rPr>
        <w:t>：转换机制落地前溢价难套平；本土散户卖首尔本股买ADR+机构被锁在本土=</w:t>
      </w:r>
      <w:r>
        <w:rPr>
          <w:rFonts w:ascii="source serif 4" w:eastAsia="source serif 4" w:hAnsi="source serif 4" w:cs="source serif 4"/>
          <w:b/>
          <w:color w:val="000000"/>
        </w:rPr>
        <w:t>首尔线相对承压、ADR线有本土散户接力</w:t>
      </w:r>
      <w:r>
        <w:rPr>
          <w:rFonts w:ascii="source serif 4" w:eastAsia="source serif 4" w:hAnsi="source serif 4" w:cs="source serif 4"/>
          <w:color w:val="000000"/>
        </w:rPr>
        <w:t>的结构。</w:t>
      </w:r>
    </w:p>
    <w:p w14:paraId="4DE30EFD" w14:textId="77777777" w:rsidR="007C1FC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政治托底与递延卖压并存</w:t>
      </w:r>
      <w:r>
        <w:rPr>
          <w:rFonts w:ascii="source serif 4" w:eastAsia="source serif 4" w:hAnsi="source serif 4" w:cs="source serif 4"/>
          <w:color w:val="000000"/>
        </w:rPr>
        <w:t>：NPS被按住的每日约3,000-4,000亿卖压和7/29海力士新股KRX上市，是下半年韩股的两笔隐性供给。</w:t>
      </w:r>
    </w:p>
    <w:p w14:paraId="1AC2E0F2" w14:textId="77777777" w:rsidR="007C1FC4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专家的时钟</w:t>
      </w:r>
      <w:r>
        <w:rPr>
          <w:rFonts w:ascii="source serif 4" w:eastAsia="source serif 4" w:hAnsi="source serif 4" w:cs="source serif 4"/>
          <w:color w:val="000000"/>
        </w:rPr>
        <w:t>：股价峰值2026年底-1Q27 → 当前回调在其框架内属周期中段休整，而非顶部——这一判断与"去杠杆已完成20-25%"共同构成偏多的一线证据链，但需警惕其平台立场（业务受益于散户交易活跃）带来的乐观偏差。</w:t>
      </w:r>
    </w:p>
    <w:p w14:paraId="413C6002" w14:textId="77777777" w:rsidR="007C1FC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EBFB8CD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43BFA21" w14:textId="77777777" w:rsidR="007C1FC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i/>
          <w:color w:val="000000"/>
        </w:rPr>
        <w:t>纪要基于英文语音自动转写整理，数字以专家口述为准、个别处标注存疑；未经嘉宾本人审阅。</w:t>
      </w:r>
    </w:p>
    <w:sectPr w:rsidR="007C1FC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sans 3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4242"/>
    <w:multiLevelType w:val="hybridMultilevel"/>
    <w:tmpl w:val="5634738E"/>
    <w:lvl w:ilvl="0" w:tplc="7646FB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48442C">
      <w:numFmt w:val="decimal"/>
      <w:lvlText w:val=""/>
      <w:lvlJc w:val="left"/>
    </w:lvl>
    <w:lvl w:ilvl="2" w:tplc="B8006738">
      <w:numFmt w:val="decimal"/>
      <w:lvlText w:val=""/>
      <w:lvlJc w:val="left"/>
    </w:lvl>
    <w:lvl w:ilvl="3" w:tplc="49ACD9C2">
      <w:numFmt w:val="decimal"/>
      <w:lvlText w:val=""/>
      <w:lvlJc w:val="left"/>
    </w:lvl>
    <w:lvl w:ilvl="4" w:tplc="9B2C8CA8">
      <w:numFmt w:val="decimal"/>
      <w:lvlText w:val=""/>
      <w:lvlJc w:val="left"/>
    </w:lvl>
    <w:lvl w:ilvl="5" w:tplc="826E450A">
      <w:numFmt w:val="decimal"/>
      <w:lvlText w:val=""/>
      <w:lvlJc w:val="left"/>
    </w:lvl>
    <w:lvl w:ilvl="6" w:tplc="EE0E1AEE">
      <w:numFmt w:val="decimal"/>
      <w:lvlText w:val=""/>
      <w:lvlJc w:val="left"/>
    </w:lvl>
    <w:lvl w:ilvl="7" w:tplc="5C1E755A">
      <w:numFmt w:val="decimal"/>
      <w:lvlText w:val=""/>
      <w:lvlJc w:val="left"/>
    </w:lvl>
    <w:lvl w:ilvl="8" w:tplc="72EEAA28">
      <w:numFmt w:val="decimal"/>
      <w:lvlText w:val=""/>
      <w:lvlJc w:val="left"/>
    </w:lvl>
  </w:abstractNum>
  <w:abstractNum w:abstractNumId="1" w15:restartNumberingAfterBreak="0">
    <w:nsid w:val="21A6145F"/>
    <w:multiLevelType w:val="hybridMultilevel"/>
    <w:tmpl w:val="7C707B30"/>
    <w:lvl w:ilvl="0" w:tplc="5DCCE6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A6C9C58">
      <w:numFmt w:val="decimal"/>
      <w:lvlText w:val=""/>
      <w:lvlJc w:val="left"/>
    </w:lvl>
    <w:lvl w:ilvl="2" w:tplc="60169FAC">
      <w:numFmt w:val="decimal"/>
      <w:lvlText w:val=""/>
      <w:lvlJc w:val="left"/>
    </w:lvl>
    <w:lvl w:ilvl="3" w:tplc="37843BC8">
      <w:numFmt w:val="decimal"/>
      <w:lvlText w:val=""/>
      <w:lvlJc w:val="left"/>
    </w:lvl>
    <w:lvl w:ilvl="4" w:tplc="FC50462A">
      <w:numFmt w:val="decimal"/>
      <w:lvlText w:val=""/>
      <w:lvlJc w:val="left"/>
    </w:lvl>
    <w:lvl w:ilvl="5" w:tplc="1428926E">
      <w:numFmt w:val="decimal"/>
      <w:lvlText w:val=""/>
      <w:lvlJc w:val="left"/>
    </w:lvl>
    <w:lvl w:ilvl="6" w:tplc="FCD8AA30">
      <w:numFmt w:val="decimal"/>
      <w:lvlText w:val=""/>
      <w:lvlJc w:val="left"/>
    </w:lvl>
    <w:lvl w:ilvl="7" w:tplc="A182852E">
      <w:numFmt w:val="decimal"/>
      <w:lvlText w:val=""/>
      <w:lvlJc w:val="left"/>
    </w:lvl>
    <w:lvl w:ilvl="8" w:tplc="A74238F6">
      <w:numFmt w:val="decimal"/>
      <w:lvlText w:val=""/>
      <w:lvlJc w:val="left"/>
    </w:lvl>
  </w:abstractNum>
  <w:abstractNum w:abstractNumId="2" w15:restartNumberingAfterBreak="0">
    <w:nsid w:val="26525278"/>
    <w:multiLevelType w:val="hybridMultilevel"/>
    <w:tmpl w:val="F41C9914"/>
    <w:lvl w:ilvl="0" w:tplc="2806C2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D623D0">
      <w:numFmt w:val="decimal"/>
      <w:lvlText w:val=""/>
      <w:lvlJc w:val="left"/>
    </w:lvl>
    <w:lvl w:ilvl="2" w:tplc="48CE8F78">
      <w:numFmt w:val="decimal"/>
      <w:lvlText w:val=""/>
      <w:lvlJc w:val="left"/>
    </w:lvl>
    <w:lvl w:ilvl="3" w:tplc="58541DBE">
      <w:numFmt w:val="decimal"/>
      <w:lvlText w:val=""/>
      <w:lvlJc w:val="left"/>
    </w:lvl>
    <w:lvl w:ilvl="4" w:tplc="72082212">
      <w:numFmt w:val="decimal"/>
      <w:lvlText w:val=""/>
      <w:lvlJc w:val="left"/>
    </w:lvl>
    <w:lvl w:ilvl="5" w:tplc="7CB6CA1A">
      <w:numFmt w:val="decimal"/>
      <w:lvlText w:val=""/>
      <w:lvlJc w:val="left"/>
    </w:lvl>
    <w:lvl w:ilvl="6" w:tplc="F508B54C">
      <w:numFmt w:val="decimal"/>
      <w:lvlText w:val=""/>
      <w:lvlJc w:val="left"/>
    </w:lvl>
    <w:lvl w:ilvl="7" w:tplc="AB021612">
      <w:numFmt w:val="decimal"/>
      <w:lvlText w:val=""/>
      <w:lvlJc w:val="left"/>
    </w:lvl>
    <w:lvl w:ilvl="8" w:tplc="F75C42E0">
      <w:numFmt w:val="decimal"/>
      <w:lvlText w:val=""/>
      <w:lvlJc w:val="left"/>
    </w:lvl>
  </w:abstractNum>
  <w:abstractNum w:abstractNumId="3" w15:restartNumberingAfterBreak="0">
    <w:nsid w:val="31D75503"/>
    <w:multiLevelType w:val="hybridMultilevel"/>
    <w:tmpl w:val="29C867E6"/>
    <w:lvl w:ilvl="0" w:tplc="3B48819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40201EC">
      <w:numFmt w:val="decimal"/>
      <w:lvlText w:val=""/>
      <w:lvlJc w:val="left"/>
    </w:lvl>
    <w:lvl w:ilvl="2" w:tplc="0D3040DE">
      <w:numFmt w:val="decimal"/>
      <w:lvlText w:val=""/>
      <w:lvlJc w:val="left"/>
    </w:lvl>
    <w:lvl w:ilvl="3" w:tplc="1A88531C">
      <w:numFmt w:val="decimal"/>
      <w:lvlText w:val=""/>
      <w:lvlJc w:val="left"/>
    </w:lvl>
    <w:lvl w:ilvl="4" w:tplc="E684EADC">
      <w:numFmt w:val="decimal"/>
      <w:lvlText w:val=""/>
      <w:lvlJc w:val="left"/>
    </w:lvl>
    <w:lvl w:ilvl="5" w:tplc="97D07728">
      <w:numFmt w:val="decimal"/>
      <w:lvlText w:val=""/>
      <w:lvlJc w:val="left"/>
    </w:lvl>
    <w:lvl w:ilvl="6" w:tplc="CBA63686">
      <w:numFmt w:val="decimal"/>
      <w:lvlText w:val=""/>
      <w:lvlJc w:val="left"/>
    </w:lvl>
    <w:lvl w:ilvl="7" w:tplc="1176532C">
      <w:numFmt w:val="decimal"/>
      <w:lvlText w:val=""/>
      <w:lvlJc w:val="left"/>
    </w:lvl>
    <w:lvl w:ilvl="8" w:tplc="1C7AC2F4">
      <w:numFmt w:val="decimal"/>
      <w:lvlText w:val=""/>
      <w:lvlJc w:val="left"/>
    </w:lvl>
  </w:abstractNum>
  <w:abstractNum w:abstractNumId="4" w15:restartNumberingAfterBreak="0">
    <w:nsid w:val="31DB60E2"/>
    <w:multiLevelType w:val="hybridMultilevel"/>
    <w:tmpl w:val="1CF2BD90"/>
    <w:lvl w:ilvl="0" w:tplc="C97C45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821FDE">
      <w:numFmt w:val="decimal"/>
      <w:lvlText w:val=""/>
      <w:lvlJc w:val="left"/>
    </w:lvl>
    <w:lvl w:ilvl="2" w:tplc="084A70DE">
      <w:numFmt w:val="decimal"/>
      <w:lvlText w:val=""/>
      <w:lvlJc w:val="left"/>
    </w:lvl>
    <w:lvl w:ilvl="3" w:tplc="5484ABCC">
      <w:numFmt w:val="decimal"/>
      <w:lvlText w:val=""/>
      <w:lvlJc w:val="left"/>
    </w:lvl>
    <w:lvl w:ilvl="4" w:tplc="47528AC6">
      <w:numFmt w:val="decimal"/>
      <w:lvlText w:val=""/>
      <w:lvlJc w:val="left"/>
    </w:lvl>
    <w:lvl w:ilvl="5" w:tplc="75ACB4A4">
      <w:numFmt w:val="decimal"/>
      <w:lvlText w:val=""/>
      <w:lvlJc w:val="left"/>
    </w:lvl>
    <w:lvl w:ilvl="6" w:tplc="91225490">
      <w:numFmt w:val="decimal"/>
      <w:lvlText w:val=""/>
      <w:lvlJc w:val="left"/>
    </w:lvl>
    <w:lvl w:ilvl="7" w:tplc="832E193E">
      <w:numFmt w:val="decimal"/>
      <w:lvlText w:val=""/>
      <w:lvlJc w:val="left"/>
    </w:lvl>
    <w:lvl w:ilvl="8" w:tplc="C88AF6E6">
      <w:numFmt w:val="decimal"/>
      <w:lvlText w:val=""/>
      <w:lvlJc w:val="left"/>
    </w:lvl>
  </w:abstractNum>
  <w:abstractNum w:abstractNumId="5" w15:restartNumberingAfterBreak="0">
    <w:nsid w:val="3B265903"/>
    <w:multiLevelType w:val="hybridMultilevel"/>
    <w:tmpl w:val="1E7AB4F4"/>
    <w:lvl w:ilvl="0" w:tplc="70F24E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248A850">
      <w:numFmt w:val="decimal"/>
      <w:lvlText w:val=""/>
      <w:lvlJc w:val="left"/>
    </w:lvl>
    <w:lvl w:ilvl="2" w:tplc="AA9CC032">
      <w:numFmt w:val="decimal"/>
      <w:lvlText w:val=""/>
      <w:lvlJc w:val="left"/>
    </w:lvl>
    <w:lvl w:ilvl="3" w:tplc="C7BC0DFE">
      <w:numFmt w:val="decimal"/>
      <w:lvlText w:val=""/>
      <w:lvlJc w:val="left"/>
    </w:lvl>
    <w:lvl w:ilvl="4" w:tplc="3B48C080">
      <w:numFmt w:val="decimal"/>
      <w:lvlText w:val=""/>
      <w:lvlJc w:val="left"/>
    </w:lvl>
    <w:lvl w:ilvl="5" w:tplc="95FEC26A">
      <w:numFmt w:val="decimal"/>
      <w:lvlText w:val=""/>
      <w:lvlJc w:val="left"/>
    </w:lvl>
    <w:lvl w:ilvl="6" w:tplc="D3563DA4">
      <w:numFmt w:val="decimal"/>
      <w:lvlText w:val=""/>
      <w:lvlJc w:val="left"/>
    </w:lvl>
    <w:lvl w:ilvl="7" w:tplc="4314B5E4">
      <w:numFmt w:val="decimal"/>
      <w:lvlText w:val=""/>
      <w:lvlJc w:val="left"/>
    </w:lvl>
    <w:lvl w:ilvl="8" w:tplc="886AB1E0">
      <w:numFmt w:val="decimal"/>
      <w:lvlText w:val=""/>
      <w:lvlJc w:val="left"/>
    </w:lvl>
  </w:abstractNum>
  <w:abstractNum w:abstractNumId="6" w15:restartNumberingAfterBreak="0">
    <w:nsid w:val="44D304DF"/>
    <w:multiLevelType w:val="hybridMultilevel"/>
    <w:tmpl w:val="FE8E4058"/>
    <w:lvl w:ilvl="0" w:tplc="E7A6508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4F0CE">
      <w:numFmt w:val="decimal"/>
      <w:lvlText w:val=""/>
      <w:lvlJc w:val="left"/>
    </w:lvl>
    <w:lvl w:ilvl="2" w:tplc="CA42C48E">
      <w:numFmt w:val="decimal"/>
      <w:lvlText w:val=""/>
      <w:lvlJc w:val="left"/>
    </w:lvl>
    <w:lvl w:ilvl="3" w:tplc="07D008CE">
      <w:numFmt w:val="decimal"/>
      <w:lvlText w:val=""/>
      <w:lvlJc w:val="left"/>
    </w:lvl>
    <w:lvl w:ilvl="4" w:tplc="484E2BC4">
      <w:numFmt w:val="decimal"/>
      <w:lvlText w:val=""/>
      <w:lvlJc w:val="left"/>
    </w:lvl>
    <w:lvl w:ilvl="5" w:tplc="5316E53A">
      <w:numFmt w:val="decimal"/>
      <w:lvlText w:val=""/>
      <w:lvlJc w:val="left"/>
    </w:lvl>
    <w:lvl w:ilvl="6" w:tplc="9BA0B29A">
      <w:numFmt w:val="decimal"/>
      <w:lvlText w:val=""/>
      <w:lvlJc w:val="left"/>
    </w:lvl>
    <w:lvl w:ilvl="7" w:tplc="6602AFD2">
      <w:numFmt w:val="decimal"/>
      <w:lvlText w:val=""/>
      <w:lvlJc w:val="left"/>
    </w:lvl>
    <w:lvl w:ilvl="8" w:tplc="8A08E778">
      <w:numFmt w:val="decimal"/>
      <w:lvlText w:val=""/>
      <w:lvlJc w:val="left"/>
    </w:lvl>
  </w:abstractNum>
  <w:abstractNum w:abstractNumId="7" w15:restartNumberingAfterBreak="0">
    <w:nsid w:val="48580C42"/>
    <w:multiLevelType w:val="hybridMultilevel"/>
    <w:tmpl w:val="C344B38C"/>
    <w:lvl w:ilvl="0" w:tplc="9C2607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5A3E8E">
      <w:numFmt w:val="decimal"/>
      <w:lvlText w:val=""/>
      <w:lvlJc w:val="left"/>
    </w:lvl>
    <w:lvl w:ilvl="2" w:tplc="5874F332">
      <w:numFmt w:val="decimal"/>
      <w:lvlText w:val=""/>
      <w:lvlJc w:val="left"/>
    </w:lvl>
    <w:lvl w:ilvl="3" w:tplc="750E3342">
      <w:numFmt w:val="decimal"/>
      <w:lvlText w:val=""/>
      <w:lvlJc w:val="left"/>
    </w:lvl>
    <w:lvl w:ilvl="4" w:tplc="E1C8504E">
      <w:numFmt w:val="decimal"/>
      <w:lvlText w:val=""/>
      <w:lvlJc w:val="left"/>
    </w:lvl>
    <w:lvl w:ilvl="5" w:tplc="327C3E3A">
      <w:numFmt w:val="decimal"/>
      <w:lvlText w:val=""/>
      <w:lvlJc w:val="left"/>
    </w:lvl>
    <w:lvl w:ilvl="6" w:tplc="A4525044">
      <w:numFmt w:val="decimal"/>
      <w:lvlText w:val=""/>
      <w:lvlJc w:val="left"/>
    </w:lvl>
    <w:lvl w:ilvl="7" w:tplc="BFF6F13A">
      <w:numFmt w:val="decimal"/>
      <w:lvlText w:val=""/>
      <w:lvlJc w:val="left"/>
    </w:lvl>
    <w:lvl w:ilvl="8" w:tplc="047C7316">
      <w:numFmt w:val="decimal"/>
      <w:lvlText w:val=""/>
      <w:lvlJc w:val="left"/>
    </w:lvl>
  </w:abstractNum>
  <w:abstractNum w:abstractNumId="8" w15:restartNumberingAfterBreak="0">
    <w:nsid w:val="66E36633"/>
    <w:multiLevelType w:val="hybridMultilevel"/>
    <w:tmpl w:val="1F324B9C"/>
    <w:lvl w:ilvl="0" w:tplc="2F6CBB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A8F380">
      <w:numFmt w:val="decimal"/>
      <w:lvlText w:val=""/>
      <w:lvlJc w:val="left"/>
    </w:lvl>
    <w:lvl w:ilvl="2" w:tplc="234432AA">
      <w:numFmt w:val="decimal"/>
      <w:lvlText w:val=""/>
      <w:lvlJc w:val="left"/>
    </w:lvl>
    <w:lvl w:ilvl="3" w:tplc="190A1A10">
      <w:numFmt w:val="decimal"/>
      <w:lvlText w:val=""/>
      <w:lvlJc w:val="left"/>
    </w:lvl>
    <w:lvl w:ilvl="4" w:tplc="3A58B9CE">
      <w:numFmt w:val="decimal"/>
      <w:lvlText w:val=""/>
      <w:lvlJc w:val="left"/>
    </w:lvl>
    <w:lvl w:ilvl="5" w:tplc="9878BBE6">
      <w:numFmt w:val="decimal"/>
      <w:lvlText w:val=""/>
      <w:lvlJc w:val="left"/>
    </w:lvl>
    <w:lvl w:ilvl="6" w:tplc="0AA4A29A">
      <w:numFmt w:val="decimal"/>
      <w:lvlText w:val=""/>
      <w:lvlJc w:val="left"/>
    </w:lvl>
    <w:lvl w:ilvl="7" w:tplc="6C2E7CA4">
      <w:numFmt w:val="decimal"/>
      <w:lvlText w:val=""/>
      <w:lvlJc w:val="left"/>
    </w:lvl>
    <w:lvl w:ilvl="8" w:tplc="FDBA6D56">
      <w:numFmt w:val="decimal"/>
      <w:lvlText w:val=""/>
      <w:lvlJc w:val="left"/>
    </w:lvl>
  </w:abstractNum>
  <w:abstractNum w:abstractNumId="9" w15:restartNumberingAfterBreak="0">
    <w:nsid w:val="75230117"/>
    <w:multiLevelType w:val="hybridMultilevel"/>
    <w:tmpl w:val="E8FC9B58"/>
    <w:lvl w:ilvl="0" w:tplc="1ABADB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D05986">
      <w:numFmt w:val="decimal"/>
      <w:lvlText w:val=""/>
      <w:lvlJc w:val="left"/>
    </w:lvl>
    <w:lvl w:ilvl="2" w:tplc="FEB4CFA8">
      <w:numFmt w:val="decimal"/>
      <w:lvlText w:val=""/>
      <w:lvlJc w:val="left"/>
    </w:lvl>
    <w:lvl w:ilvl="3" w:tplc="FEF46FF2">
      <w:numFmt w:val="decimal"/>
      <w:lvlText w:val=""/>
      <w:lvlJc w:val="left"/>
    </w:lvl>
    <w:lvl w:ilvl="4" w:tplc="160E592C">
      <w:numFmt w:val="decimal"/>
      <w:lvlText w:val=""/>
      <w:lvlJc w:val="left"/>
    </w:lvl>
    <w:lvl w:ilvl="5" w:tplc="70CCB690">
      <w:numFmt w:val="decimal"/>
      <w:lvlText w:val=""/>
      <w:lvlJc w:val="left"/>
    </w:lvl>
    <w:lvl w:ilvl="6" w:tplc="5A504598">
      <w:numFmt w:val="decimal"/>
      <w:lvlText w:val=""/>
      <w:lvlJc w:val="left"/>
    </w:lvl>
    <w:lvl w:ilvl="7" w:tplc="40CAECC0">
      <w:numFmt w:val="decimal"/>
      <w:lvlText w:val=""/>
      <w:lvlJc w:val="left"/>
    </w:lvl>
    <w:lvl w:ilvl="8" w:tplc="43D6FBD8">
      <w:numFmt w:val="decimal"/>
      <w:lvlText w:val=""/>
      <w:lvlJc w:val="left"/>
    </w:lvl>
  </w:abstractNum>
  <w:abstractNum w:abstractNumId="10" w15:restartNumberingAfterBreak="0">
    <w:nsid w:val="77DF6CE8"/>
    <w:multiLevelType w:val="hybridMultilevel"/>
    <w:tmpl w:val="B8A41DCA"/>
    <w:lvl w:ilvl="0" w:tplc="2606F9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B4D59A">
      <w:numFmt w:val="decimal"/>
      <w:lvlText w:val=""/>
      <w:lvlJc w:val="left"/>
    </w:lvl>
    <w:lvl w:ilvl="2" w:tplc="FAB46C4E">
      <w:numFmt w:val="decimal"/>
      <w:lvlText w:val=""/>
      <w:lvlJc w:val="left"/>
    </w:lvl>
    <w:lvl w:ilvl="3" w:tplc="4F7E2DF6">
      <w:numFmt w:val="decimal"/>
      <w:lvlText w:val=""/>
      <w:lvlJc w:val="left"/>
    </w:lvl>
    <w:lvl w:ilvl="4" w:tplc="981AC35E">
      <w:numFmt w:val="decimal"/>
      <w:lvlText w:val=""/>
      <w:lvlJc w:val="left"/>
    </w:lvl>
    <w:lvl w:ilvl="5" w:tplc="7C82FB62">
      <w:numFmt w:val="decimal"/>
      <w:lvlText w:val=""/>
      <w:lvlJc w:val="left"/>
    </w:lvl>
    <w:lvl w:ilvl="6" w:tplc="72523A86">
      <w:numFmt w:val="decimal"/>
      <w:lvlText w:val=""/>
      <w:lvlJc w:val="left"/>
    </w:lvl>
    <w:lvl w:ilvl="7" w:tplc="7F1A6C0C">
      <w:numFmt w:val="decimal"/>
      <w:lvlText w:val=""/>
      <w:lvlJc w:val="left"/>
    </w:lvl>
    <w:lvl w:ilvl="8" w:tplc="719E2B36">
      <w:numFmt w:val="decimal"/>
      <w:lvlText w:val=""/>
      <w:lvlJc w:val="left"/>
    </w:lvl>
  </w:abstractNum>
  <w:abstractNum w:abstractNumId="11" w15:restartNumberingAfterBreak="0">
    <w:nsid w:val="7D725F63"/>
    <w:multiLevelType w:val="hybridMultilevel"/>
    <w:tmpl w:val="5C84CDEC"/>
    <w:lvl w:ilvl="0" w:tplc="6EBA62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B0E664">
      <w:numFmt w:val="decimal"/>
      <w:lvlText w:val=""/>
      <w:lvlJc w:val="left"/>
    </w:lvl>
    <w:lvl w:ilvl="2" w:tplc="20049194">
      <w:numFmt w:val="decimal"/>
      <w:lvlText w:val=""/>
      <w:lvlJc w:val="left"/>
    </w:lvl>
    <w:lvl w:ilvl="3" w:tplc="61080D90">
      <w:numFmt w:val="decimal"/>
      <w:lvlText w:val=""/>
      <w:lvlJc w:val="left"/>
    </w:lvl>
    <w:lvl w:ilvl="4" w:tplc="BAACF274">
      <w:numFmt w:val="decimal"/>
      <w:lvlText w:val=""/>
      <w:lvlJc w:val="left"/>
    </w:lvl>
    <w:lvl w:ilvl="5" w:tplc="D0FA987A">
      <w:numFmt w:val="decimal"/>
      <w:lvlText w:val=""/>
      <w:lvlJc w:val="left"/>
    </w:lvl>
    <w:lvl w:ilvl="6" w:tplc="1DCA4592">
      <w:numFmt w:val="decimal"/>
      <w:lvlText w:val=""/>
      <w:lvlJc w:val="left"/>
    </w:lvl>
    <w:lvl w:ilvl="7" w:tplc="58726A94">
      <w:numFmt w:val="decimal"/>
      <w:lvlText w:val=""/>
      <w:lvlJc w:val="left"/>
    </w:lvl>
    <w:lvl w:ilvl="8" w:tplc="21B68F78">
      <w:numFmt w:val="decimal"/>
      <w:lvlText w:val=""/>
      <w:lvlJc w:val="left"/>
    </w:lvl>
  </w:abstractNum>
  <w:num w:numId="1" w16cid:durableId="1762020573">
    <w:abstractNumId w:val="6"/>
  </w:num>
  <w:num w:numId="2" w16cid:durableId="1374891842">
    <w:abstractNumId w:val="5"/>
  </w:num>
  <w:num w:numId="3" w16cid:durableId="579102820">
    <w:abstractNumId w:val="4"/>
  </w:num>
  <w:num w:numId="4" w16cid:durableId="246233946">
    <w:abstractNumId w:val="10"/>
  </w:num>
  <w:num w:numId="5" w16cid:durableId="158813055">
    <w:abstractNumId w:val="9"/>
  </w:num>
  <w:num w:numId="6" w16cid:durableId="802312340">
    <w:abstractNumId w:val="2"/>
  </w:num>
  <w:num w:numId="7" w16cid:durableId="1652521734">
    <w:abstractNumId w:val="0"/>
  </w:num>
  <w:num w:numId="8" w16cid:durableId="1429352502">
    <w:abstractNumId w:val="7"/>
  </w:num>
  <w:num w:numId="9" w16cid:durableId="13893890">
    <w:abstractNumId w:val="11"/>
  </w:num>
  <w:num w:numId="10" w16cid:durableId="469902042">
    <w:abstractNumId w:val="1"/>
  </w:num>
  <w:num w:numId="11" w16cid:durableId="517085703">
    <w:abstractNumId w:val="8"/>
  </w:num>
  <w:num w:numId="12" w16cid:durableId="623540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FC4"/>
    <w:rsid w:val="001759AC"/>
    <w:rsid w:val="00562E0B"/>
    <w:rsid w:val="00721BFA"/>
    <w:rsid w:val="007C1FC4"/>
    <w:rsid w:val="00C61421"/>
    <w:rsid w:val="00FB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028680F"/>
  <w15:docId w15:val="{59B90B06-436E-40E3-8337-BD091AE15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944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Jayson Lu</cp:lastModifiedBy>
  <cp:revision>2</cp:revision>
  <dcterms:created xsi:type="dcterms:W3CDTF">2026-07-17T09:04:00Z</dcterms:created>
  <dcterms:modified xsi:type="dcterms:W3CDTF">2026-07-17T09:04:00Z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487ca1-3ae9-46d9-9f4f-bccbf4ee90d6_Enabled">
    <vt:lpwstr>true</vt:lpwstr>
  </property>
  <property fmtid="{D5CDD505-2E9C-101B-9397-08002B2CF9AE}" pid="3" name="MSIP_Label_ce487ca1-3ae9-46d9-9f4f-bccbf4ee90d6_SetDate">
    <vt:lpwstr>2026-07-17T09:04:39Z</vt:lpwstr>
  </property>
  <property fmtid="{D5CDD505-2E9C-101B-9397-08002B2CF9AE}" pid="4" name="MSIP_Label_ce487ca1-3ae9-46d9-9f4f-bccbf4ee90d6_Method">
    <vt:lpwstr>Standard</vt:lpwstr>
  </property>
  <property fmtid="{D5CDD505-2E9C-101B-9397-08002B2CF9AE}" pid="5" name="MSIP_Label_ce487ca1-3ae9-46d9-9f4f-bccbf4ee90d6_Name">
    <vt:lpwstr>defa4170-0d19-0005-0004-bc88714345d2</vt:lpwstr>
  </property>
  <property fmtid="{D5CDD505-2E9C-101B-9397-08002B2CF9AE}" pid="6" name="MSIP_Label_ce487ca1-3ae9-46d9-9f4f-bccbf4ee90d6_SiteId">
    <vt:lpwstr>912c1411-7216-4f78-a1e1-a38aea5c33fd</vt:lpwstr>
  </property>
  <property fmtid="{D5CDD505-2E9C-101B-9397-08002B2CF9AE}" pid="7" name="MSIP_Label_ce487ca1-3ae9-46d9-9f4f-bccbf4ee90d6_ActionId">
    <vt:lpwstr>91635efd-0a0e-4340-8c17-bb4c00df3cfd</vt:lpwstr>
  </property>
  <property fmtid="{D5CDD505-2E9C-101B-9397-08002B2CF9AE}" pid="8" name="MSIP_Label_ce487ca1-3ae9-46d9-9f4f-bccbf4ee90d6_ContentBits">
    <vt:lpwstr>0</vt:lpwstr>
  </property>
  <property fmtid="{D5CDD505-2E9C-101B-9397-08002B2CF9AE}" pid="9" name="MSIP_Label_ce487ca1-3ae9-46d9-9f4f-bccbf4ee90d6_Tag">
    <vt:lpwstr>10, 3, 0, 1</vt:lpwstr>
  </property>
</Properties>
</file>