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CSOP 7709 Daily Rebalance Impact Study — Instruction Prompt for AI Execution</w:t>
      </w:r>
    </w:p>
    <w:p>
      <w:pPr>
        <w:pStyle w:val="Heading2"/>
        <w:pStyle w:val="MdHeading2"/>
      </w:pPr>
      <w:r>
        <w:t xml:space="preserve">Overview</w:t>
      </w:r>
    </w:p>
    <w:p>
      <w:pPr>
        <w:pStyle w:val="MdParagraph"/>
      </w:pPr>
      <w:r>
        <w:t xml:space="preserve">You are tasked with replicating and extending an empirical study on the market impact of daily rebalancing by CSOP 7709 (CSOP SK Hynix Daily 2× Leveraged Product, HKEx stock code: 7709) on SK Hynix (000660.KS) closing-hour price behaviour. The study uses a controlled experiment design comparing extreme market days against normal days.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Background &amp; Research Question</w:t>
      </w:r>
    </w:p>
    <w:p>
      <w:pPr>
        <w:pStyle w:val="MdParagraph"/>
      </w:pPr>
      <w:r>
        <w:t xml:space="preserve">CSOP 7709 is a synthetic 2× daily leveraged product listed in Hong Kong. It obtains its leveraged exposure to SK Hynix via OTC total return swaps with six counterparty banks (JP Morgan, Goldman Sachs, Nomura, Citigroup, BNP Paribas, UBS). The product does </w:t>
      </w:r>
      <w:r>
        <w:rPr>
          <w:rStyle w:val="MdStrong"/>
          <w:b/>
          <w:bCs/>
        </w:rPr>
        <w:t xml:space="preserve">not</w:t>
      </w:r>
      <w:r>
        <w:t xml:space="preserve"> hold SK Hynix shares directly.</w:t>
      </w:r>
    </w:p>
    <w:p>
      <w:pPr>
        <w:pStyle w:val="MdSpace"/>
        <w:spacing w:before="0" w:after="60"/>
      </w:pPr>
    </w:p>
    <w:p>
      <w:pPr>
        <w:pStyle w:val="MdParagraph"/>
      </w:pPr>
      <w:r>
        <w:t xml:space="preserve">Every trading day, near the KRX close (approximately HKT 14:00–14:30), the product must rebalance its swap notional to restore the 2× leverage ratio. This creates a predictable, directional flow:</w:t>
      </w:r>
    </w:p>
    <w:p>
      <w:pPr>
        <w:pStyle w:val="MdListItem"/>
        <w:numPr>
          <w:ilvl w:val="0"/>
          <w:numId w:val="2"/>
        </w:numPr>
      </w:pPr>
      <w:r>
        <w:t xml:space="preserve">If SK Hynix </w:t>
      </w:r>
      <w:r>
        <w:rPr>
          <w:rStyle w:val="MdStrong"/>
          <w:b/>
          <w:bCs/>
        </w:rPr>
        <w:t xml:space="preserve">rises</w:t>
      </w:r>
      <w:r>
        <w:t xml:space="preserve">, the product must </w:t>
      </w:r>
      <w:r>
        <w:rPr>
          <w:rStyle w:val="MdStrong"/>
          <w:b/>
          <w:bCs/>
        </w:rPr>
        <w:t xml:space="preserve">increase</w:t>
      </w:r>
      <w:r>
        <w:t xml:space="preserve"> notional exposure (BUY pressure via swap counterparties)</w:t>
      </w:r>
    </w:p>
    <w:p>
      <w:pPr>
        <w:pStyle w:val="MdListItem"/>
        <w:numPr>
          <w:ilvl w:val="0"/>
          <w:numId w:val="2"/>
        </w:numPr>
      </w:pPr>
      <w:r>
        <w:t xml:space="preserve">If SK Hynix </w:t>
      </w:r>
      <w:r>
        <w:rPr>
          <w:rStyle w:val="MdStrong"/>
          <w:b/>
          <w:bCs/>
        </w:rPr>
        <w:t xml:space="preserve">falls</w:t>
      </w:r>
      <w:r>
        <w:t xml:space="preserve">, the product must </w:t>
      </w:r>
      <w:r>
        <w:rPr>
          <w:rStyle w:val="MdStrong"/>
          <w:b/>
          <w:bCs/>
        </w:rPr>
        <w:t xml:space="preserve">decrease</w:t>
      </w:r>
      <w:r>
        <w:t xml:space="preserve"> notional exposure (SELL pressure via swap counterparties)</w:t>
      </w:r>
    </w:p>
    <w:p>
      <w:pPr>
        <w:pStyle w:val="MdSpace"/>
        <w:spacing w:before="0" w:after="60"/>
      </w:pPr>
    </w:p>
    <w:p>
      <w:pPr>
        <w:pStyle w:val="MdParagraph"/>
      </w:pPr>
      <w:r>
        <w:rPr>
          <w:rStyle w:val="MdStrong"/>
          <w:b/>
          <w:bCs/>
        </w:rPr>
        <w:t xml:space="preserve">Research question:</w:t>
      </w:r>
      <w:r>
        <w:t xml:space="preserve"> Does this structural rebalancing flow have a measurable impact on SK Hynix's last-60-minute price movement on extreme market days?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1: Rebalance Amount Calculation</w:t>
      </w:r>
    </w:p>
    <w:p>
      <w:pPr>
        <w:pStyle w:val="Heading3"/>
        <w:pStyle w:val="MdHeading3"/>
      </w:pPr>
      <w:r>
        <w:t xml:space="preserve">Formula (from CSOP 7709 Prospectus, p.606)</w:t>
      </w:r>
    </w:p>
    <w:p>
      <w:pPr>
        <w:pStyle w:val="MdParagraph"/>
      </w:pPr>
      <w:r>
        <w:t xml:space="preserve">For each trading day T:</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ourier New" w:cs="Courier New" w:eastAsia="Courier New" w:hAnsi="Courier New"/>
          <w:color w:val="24292E"/>
          <w:sz w:val="20"/>
          <w:szCs w:val="20"/>
        </w:rPr>
        <w:t xml:space="preserve">(a)  Opening NAV (USD)         = T-1 day AUM (USD)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(b)  Opening Notional Exposure = (a) × 2</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(c)  SK Hynix Daily Return     = (T close price − T-1 close price) / T-1 close price</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(d)  P&amp;L on Notional           = (b) × (c)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(e)  Closing NAV               = (a) + (d)</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(f)  Current Notional at Close = (b) × (1 + (c))</w:t>
      </w:r>
    </w:p>
    <w:p>
      <w:pPr>
        <w:pStyle w:val="MdCode"/>
        <w:pBdr>
          <w:left w:val="single" w:color="E1E4E8" w:sz="1" w:space="8"/>
          <w:right w:val="single" w:color="E1E4E8" w:sz="1" w:space="8"/>
        </w:pBdr>
        <w:shd w:fill="F6F8FA"/>
        <w:spacing w:before="0" w:after="0" w:line="276"/>
        <w:ind w:left="360"/>
      </w:pPr>
      <w:r>
        <w:rPr>
          <w:rFonts w:ascii="Courier New" w:cs="Courier New" w:eastAsia="Courier New" w:hAnsi="Courier New"/>
          <w:color w:val="24292E"/>
          <w:sz w:val="20"/>
          <w:szCs w:val="20"/>
        </w:rPr>
        <w:t xml:space="preserve">(g)  Target Notional           = (e) × 2</w:t>
      </w:r>
    </w:p>
    <w:p>
      <w:pPr>
        <w:pStyle w:val="MdCode"/>
        <w:pBdr>
          <w:bottom w:val="single" w:color="E1E4E8" w:sz="1" w:space="8"/>
          <w:left w:val="single" w:color="E1E4E8" w:sz="1" w:space="8"/>
          <w:right w:val="single" w:color="E1E4E8" w:sz="1" w:space="8"/>
        </w:pBdr>
        <w:shd w:fill="F6F8FA"/>
        <w:spacing w:before="0" w:after="120" w:line="276"/>
        <w:ind w:left="360"/>
      </w:pPr>
      <w:r>
        <w:rPr>
          <w:rFonts w:ascii="Courier New" w:cs="Courier New" w:eastAsia="Courier New" w:hAnsi="Courier New"/>
          <w:color w:val="24292E"/>
          <w:sz w:val="20"/>
          <w:szCs w:val="20"/>
        </w:rPr>
        <w:t xml:space="preserve">(h)  REBALANCE AMOUNT          = (g) − (f)</w:t>
      </w:r>
    </w:p>
    <w:p>
      <w:pPr>
        <w:pStyle w:val="MdSpace"/>
        <w:spacing w:before="0" w:after="60"/>
      </w:pPr>
    </w:p>
    <w:p>
      <w:pPr>
        <w:pStyle w:val="MdParagraph"/>
      </w:pPr>
      <w:r>
        <w:rPr>
          <w:rStyle w:val="MdStrong"/>
          <w:b/>
          <w:bCs/>
        </w:rPr>
        <w:t xml:space="preserve">Key identity (simplified):</w:t>
      </w:r>
    </w:p>
    <w:p>
      <w:pPr>
        <w:pStyle w:val="MdBlockquote"/>
      </w:pPr>
      <w:r>
        <w:t xml:space="preserve">Rebalance Amount = 2 × NAV × r</w:t>
      </w:r>
      <w:r>
        <w:br/>
        <w:t xml:space="preserve">where r = SK Hynix daily return</w:t>
      </w:r>
    </w:p>
    <w:p>
      <w:pPr>
        <w:pStyle w:val="MdSpace"/>
        <w:spacing w:before="0" w:after="60"/>
      </w:pPr>
    </w:p>
    <w:p>
      <w:pPr>
        <w:pStyle w:val="MdListItem"/>
        <w:numPr>
          <w:ilvl w:val="0"/>
          <w:numId w:val="2"/>
        </w:numPr>
      </w:pPr>
      <w:r>
        <w:t xml:space="preserve">h &gt; 0 → BUY (increase swap notional)</w:t>
      </w:r>
    </w:p>
    <w:p>
      <w:pPr>
        <w:pStyle w:val="MdListItem"/>
        <w:numPr>
          <w:ilvl w:val="0"/>
          <w:numId w:val="2"/>
        </w:numPr>
      </w:pPr>
      <w:r>
        <w:t xml:space="preserve">h &lt; 0 → SELL (decrease swap notional)</w:t>
      </w:r>
    </w:p>
    <w:p>
      <w:pPr>
        <w:pStyle w:val="MdSpace"/>
        <w:spacing w:before="0" w:after="60"/>
      </w:pPr>
    </w:p>
    <w:p>
      <w:pPr>
        <w:pStyle w:val="Heading3"/>
        <w:pStyle w:val="MdHeading3"/>
      </w:pPr>
      <w:r>
        <w:t xml:space="preserve">Data required per trading day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Field</w:t>
            </w:r>
          </w:p>
        </w:tc>
        <w:tc>
          <w:tcPr>
            <w:tcBorders>
              <w:right w:val="none"/>
            </w:tcBorders>
            <w:tcMar>
              <w:top w:type="dxa" w:w="100"/>
              <w:left w:type="dxa" w:w="120"/>
              <w:bottom w:type="dxa" w:w="100"/>
              <w:right w:type="dxa" w:w="120"/>
            </w:tcMar>
            <w:vAlign w:val="center"/>
          </w:tcPr>
          <w:p>
            <w:pPr>
              <w:pStyle w:val="MdTableHeader"/>
            </w:pPr>
            <w:r>
              <w:t xml:space="preserve">Source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T-1 AUM (USD)</w:t>
            </w:r>
          </w:p>
        </w:tc>
        <w:tc>
          <w:tcPr>
            <w:tcBorders>
              <w:right w:val="none"/>
            </w:tcBorders>
            <w:tcMar>
              <w:top w:type="dxa" w:w="80"/>
              <w:left w:type="dxa" w:w="120"/>
              <w:bottom w:type="dxa" w:w="80"/>
              <w:right w:type="dxa" w:w="120"/>
            </w:tcMar>
            <w:vAlign w:val="center"/>
          </w:tcPr>
          <w:p>
            <w:pPr>
              <w:pStyle w:val="MdTableCell"/>
            </w:pPr>
            <w:r>
              <w:t xml:space="preserve">CSOP official daily NAV announcement (published each trading day)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SK Hynix T-1 close price (KRW)</w:t>
            </w:r>
          </w:p>
        </w:tc>
        <w:tc>
          <w:tcPr>
            <w:tcBorders>
              <w:right w:val="none"/>
            </w:tcBorders>
            <w:tcMar>
              <w:top w:type="dxa" w:w="80"/>
              <w:left w:type="dxa" w:w="120"/>
              <w:bottom w:type="dxa" w:w="80"/>
              <w:right w:type="dxa" w:w="120"/>
            </w:tcMar>
            <w:vAlign w:val="center"/>
          </w:tcPr>
          <w:p>
            <w:pPr>
              <w:pStyle w:val="MdTableCell"/>
            </w:pPr>
            <w:r>
              <w:t xml:space="preserve">KRX market data for 000660.KS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SK Hynix T close price (KRW)</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KRX market data for 000660.KS</w:t>
            </w:r>
          </w:p>
        </w:tc>
      </w:tr>
    </w:tbl>
    <w:p>
      <w:pPr>
        <w:pStyle w:val="MdBlockquote"/>
      </w:pPr>
      <w:r>
        <w:t xml:space="preserve">Note: The NAV announcement date is T-1. The AUM figure to use is "Asset Under Management (L&amp;I Product Total)" in USD.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2: Impact Ratio Calculation</w:t>
      </w:r>
    </w:p>
    <w:p>
      <w:pPr>
        <w:pStyle w:val="MdParagraph"/>
      </w:pPr>
      <w:r>
        <w:t xml:space="preserve">To normalise rebalance size across days with different market liquidity, compute: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ourier New" w:cs="Courier New" w:eastAsia="Courier New" w:hAnsi="Courier New"/>
          <w:color w:val="24292E"/>
          <w:sz w:val="20"/>
          <w:szCs w:val="20"/>
        </w:rPr>
        <w:t xml:space="preserve">Impact Ratio (%) = |Rebalance Amount (USD)| / Last-60-min Market Turnover (USD) × 100</w:t>
      </w:r>
    </w:p>
    <w:p>
      <w:pPr>
        <w:pStyle w:val="MdSpace"/>
        <w:spacing w:before="0" w:after="60"/>
      </w:pPr>
    </w:p>
    <w:p>
      <w:pPr>
        <w:pStyle w:val="Heading3"/>
        <w:pStyle w:val="MdHeading3"/>
      </w:pPr>
      <w:r>
        <w:t xml:space="preserve">Last-60-min Market Turnover</w:t>
      </w:r>
    </w:p>
    <w:p>
      <w:pPr>
        <w:pStyle w:val="MdListItem"/>
        <w:numPr>
          <w:ilvl w:val="0"/>
          <w:numId w:val="2"/>
        </w:numPr>
      </w:pPr>
      <w:r>
        <w:t xml:space="preserve">Use SK Hynix (000660.KS) 60-minute candlestick data</w:t>
      </w:r>
    </w:p>
    <w:p>
      <w:pPr>
        <w:pStyle w:val="MdListItem"/>
        <w:numPr>
          <w:ilvl w:val="0"/>
          <w:numId w:val="2"/>
        </w:numPr>
      </w:pPr>
      <w:r>
        <w:t xml:space="preserve">Extract the </w:t>
      </w:r>
      <w:r>
        <w:rPr>
          <w:rStyle w:val="MdStrong"/>
          <w:b/>
          <w:bCs/>
        </w:rPr>
        <w:t xml:space="preserve">final 60-minute bar</w:t>
      </w:r>
      <w:r>
        <w:t xml:space="preserve"> of each trading day (KRX session: 09:00–15:30 KST; the last 60-min bar covers 14:30–15:30 KST)</w:t>
      </w:r>
    </w:p>
    <w:p>
      <w:pPr>
        <w:pStyle w:val="MdListItem"/>
        <w:numPr>
          <w:ilvl w:val="0"/>
          <w:numId w:val="2"/>
        </w:numPr>
      </w:pPr>
      <w:r>
        <w:t xml:space="preserve">Required fields from this bar: </w:t>
      </w:r>
      <w:r>
        <w:rPr>
          <w:rStyle w:val="MdStrong"/>
          <w:b/>
          <w:bCs/>
        </w:rPr>
        <w:t xml:space="preserve">volume (shares)</w:t>
      </w:r>
      <w:r>
        <w:t xml:space="preserve">, </w:t>
      </w:r>
      <w:r>
        <w:rPr>
          <w:rStyle w:val="MdStrong"/>
          <w:b/>
          <w:bCs/>
        </w:rPr>
        <w:t xml:space="preserve">average price (KRW)</w:t>
      </w:r>
      <w:r>
        <w:t xml:space="preserve">, </w:t>
      </w:r>
      <w:r>
        <w:rPr>
          <w:rStyle w:val="MdStrong"/>
          <w:b/>
          <w:bCs/>
        </w:rPr>
        <w:t xml:space="preserve">open price (KRW)</w:t>
      </w:r>
      <w:r>
        <w:t xml:space="preserve">, </w:t>
      </w:r>
      <w:r>
        <w:rPr>
          <w:rStyle w:val="MdStrong"/>
          <w:b/>
          <w:bCs/>
        </w:rPr>
        <w:t xml:space="preserve">close price (KRW)</w:t>
      </w:r>
    </w:p>
    <w:p>
      <w:pPr>
        <w:pStyle w:val="MdListItem"/>
        <w:numPr>
          <w:ilvl w:val="0"/>
          <w:numId w:val="2"/>
        </w:numPr>
      </w:pPr>
      <w:r>
        <w:t xml:space="preserve">Turnover (KRW) = volume × average price</w:t>
      </w:r>
    </w:p>
    <w:p>
      <w:pPr>
        <w:pStyle w:val="MdListItem"/>
        <w:numPr>
          <w:ilvl w:val="0"/>
          <w:numId w:val="2"/>
        </w:numPr>
      </w:pPr>
      <w:r>
        <w:t xml:space="preserve">Convert to USD using USD/KRW FX rate for that day (use 1,380 as default if actual rate unavailable)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3: Experiment Design</w:t>
      </w:r>
    </w:p>
    <w:p>
      <w:pPr>
        <w:pStyle w:val="Heading3"/>
        <w:pStyle w:val="MdHeading3"/>
      </w:pPr>
      <w:r>
        <w:t xml:space="preserve">Group A — Extreme Days (treatment group)</w:t>
      </w:r>
    </w:p>
    <w:p>
      <w:pPr>
        <w:pStyle w:val="MdParagraph"/>
      </w:pPr>
      <w:r>
        <w:t xml:space="preserve">Select days where |SK Hynix daily return| &gt; 7%. These are days with large rebalance pressure.</w:t>
      </w:r>
    </w:p>
    <w:p>
      <w:pPr>
        <w:pStyle w:val="MdSpace"/>
        <w:spacing w:before="0" w:after="60"/>
      </w:pPr>
    </w:p>
    <w:p>
      <w:pPr>
        <w:pStyle w:val="Heading3"/>
        <w:pStyle w:val="MdHeading3"/>
      </w:pPr>
      <w:r>
        <w:t xml:space="preserve">Group B — Control Days (control group)</w:t>
      </w:r>
    </w:p>
    <w:p>
      <w:pPr>
        <w:pStyle w:val="MdParagraph"/>
      </w:pPr>
      <w:r>
        <w:t xml:space="preserve">Select days where |SK Hynix daily return| &lt; 2%. These are days with minimal rebalance pressure.</w:t>
      </w:r>
    </w:p>
    <w:p>
      <w:pPr>
        <w:pStyle w:val="MdSpace"/>
        <w:spacing w:before="0" w:after="60"/>
      </w:pPr>
    </w:p>
    <w:p>
      <w:pPr>
        <w:pStyle w:val="MdParagraph"/>
      </w:pPr>
      <w:r>
        <w:t xml:space="preserve">Select approximately 6 days per group, covering the period from May 2026 onwards.</w:t>
      </w:r>
    </w:p>
    <w:p>
      <w:pPr>
        <w:pStyle w:val="MdSpace"/>
        <w:spacing w:before="0" w:after="60"/>
      </w:pPr>
    </w:p>
    <w:p>
      <w:pPr>
        <w:pStyle w:val="MdParagraph"/>
      </w:pPr>
      <w:r>
        <w:rPr>
          <w:rStyle w:val="MdStrong"/>
          <w:b/>
          <w:bCs/>
        </w:rPr>
        <w:t xml:space="preserve">Rationale for control group:</w:t>
      </w:r>
      <w:r>
        <w:t xml:space="preserve"> Without a baseline, it is impossible to determine whether large last-hour price moves are caused by rebalancing or simply by the fact that extreme market days are inherently volatile. The control group isolates the rebalancing effect.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4: Excel Output Requirements</w:t>
      </w:r>
    </w:p>
    <w:p>
      <w:pPr>
        <w:pStyle w:val="MdParagraph"/>
      </w:pPr>
      <w:r>
        <w:t xml:space="preserve">Produce a single Excel workbook with the following sheets:</w:t>
      </w:r>
    </w:p>
    <w:p>
      <w:pPr>
        <w:pStyle w:val="MdSpace"/>
        <w:spacing w:before="0" w:after="60"/>
      </w:pPr>
    </w:p>
    <w:p>
      <w:pPr>
        <w:pStyle w:val="Heading3"/>
        <w:pStyle w:val="MdHeading3"/>
      </w:pPr>
      <w:r>
        <w:t xml:space="preserve">Sheet 1: "Rebalance Calculation"</w:t>
      </w:r>
    </w:p>
    <w:p>
      <w:pPr>
        <w:pStyle w:val="MdParagraph"/>
      </w:pPr>
      <w:r>
        <w:t xml:space="preserve">One row per trading day. Columns: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Column</w:t>
            </w:r>
          </w:p>
        </w:tc>
        <w:tc>
          <w:tcPr>
            <w:tcBorders>
              <w:right w:val="none"/>
            </w:tcBorders>
            <w:tcMar>
              <w:top w:type="dxa" w:w="100"/>
              <w:left w:type="dxa" w:w="120"/>
              <w:bottom w:type="dxa" w:w="100"/>
              <w:right w:type="dxa" w:w="120"/>
            </w:tcMar>
            <w:vAlign w:val="center"/>
          </w:tcPr>
          <w:p>
            <w:pPr>
              <w:pStyle w:val="MdTableHeader"/>
            </w:pPr>
            <w:r>
              <w:t xml:space="preserve">Content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Group</w:t>
            </w:r>
          </w:p>
        </w:tc>
        <w:tc>
          <w:tcPr>
            <w:tcBorders>
              <w:right w:val="none"/>
            </w:tcBorders>
            <w:tcMar>
              <w:top w:type="dxa" w:w="80"/>
              <w:left w:type="dxa" w:w="120"/>
              <w:bottom w:type="dxa" w:w="80"/>
              <w:right w:type="dxa" w:w="120"/>
            </w:tcMar>
            <w:vAlign w:val="center"/>
          </w:tcPr>
          <w:p>
            <w:pPr>
              <w:pStyle w:val="MdTableCell"/>
            </w:pPr>
            <w:r>
              <w:t xml:space="preserve">"EXTREME" or "CONTROL"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T-1 Date</w:t>
            </w:r>
          </w:p>
        </w:tc>
        <w:tc>
          <w:tcPr>
            <w:tcBorders>
              <w:right w:val="none"/>
            </w:tcBorders>
            <w:tcMar>
              <w:top w:type="dxa" w:w="80"/>
              <w:left w:type="dxa" w:w="120"/>
              <w:bottom w:type="dxa" w:w="80"/>
              <w:right w:type="dxa" w:w="120"/>
            </w:tcMar>
            <w:vAlign w:val="center"/>
          </w:tcPr>
          <w:p>
            <w:pPr>
              <w:pStyle w:val="MdTableCell"/>
            </w:pPr>
            <w:r>
              <w:t xml:space="preserve">Date of NAV announcement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 Date</w:t>
            </w:r>
          </w:p>
        </w:tc>
        <w:tc>
          <w:tcPr>
            <w:tcBorders>
              <w:right w:val="none"/>
            </w:tcBorders>
            <w:tcMar>
              <w:top w:type="dxa" w:w="80"/>
              <w:left w:type="dxa" w:w="120"/>
              <w:bottom w:type="dxa" w:w="80"/>
              <w:right w:type="dxa" w:w="120"/>
            </w:tcMar>
            <w:vAlign w:val="center"/>
          </w:tcPr>
          <w:p>
            <w:pPr>
              <w:pStyle w:val="MdTableCell"/>
            </w:pPr>
            <w:r>
              <w:t xml:space="preserve">Actual trading day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T-1 AUM (USD)</w:t>
            </w:r>
          </w:p>
        </w:tc>
        <w:tc>
          <w:tcPr>
            <w:tcBorders>
              <w:right w:val="none"/>
            </w:tcBorders>
            <w:tcMar>
              <w:top w:type="dxa" w:w="80"/>
              <w:left w:type="dxa" w:w="120"/>
              <w:bottom w:type="dxa" w:w="80"/>
              <w:right w:type="dxa" w:w="120"/>
            </w:tcMar>
            <w:vAlign w:val="center"/>
          </w:tcPr>
          <w:p>
            <w:pPr>
              <w:pStyle w:val="MdTableCell"/>
            </w:pPr>
            <w:r>
              <w:t xml:space="preserve">From NAV announcement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SK Hynix T-1 Close (KRW)</w:t>
            </w: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SK Hynix T Close (KRW)</w:t>
            </w: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Daily Return (%)</w:t>
            </w:r>
          </w:p>
        </w:tc>
        <w:tc>
          <w:tcPr>
            <w:tcBorders>
              <w:right w:val="none"/>
            </w:tcBorders>
            <w:tcMar>
              <w:top w:type="dxa" w:w="80"/>
              <w:left w:type="dxa" w:w="120"/>
              <w:bottom w:type="dxa" w:w="80"/>
              <w:right w:type="dxa" w:w="120"/>
            </w:tcMar>
            <w:vAlign w:val="center"/>
          </w:tcPr>
          <w:p>
            <w:pPr>
              <w:pStyle w:val="MdTableCell"/>
            </w:pPr>
            <w:r>
              <w:t xml:space="preserve">Formula: =(T close − T-1 close)/T-1 close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Opening Notional (USD)</w:t>
            </w:r>
          </w:p>
        </w:tc>
        <w:tc>
          <w:tcPr>
            <w:tcBorders>
              <w:right w:val="none"/>
            </w:tcBorders>
            <w:tcMar>
              <w:top w:type="dxa" w:w="80"/>
              <w:left w:type="dxa" w:w="120"/>
              <w:bottom w:type="dxa" w:w="80"/>
              <w:right w:type="dxa" w:w="120"/>
            </w:tcMar>
            <w:vAlign w:val="center"/>
          </w:tcPr>
          <w:p>
            <w:pPr>
              <w:pStyle w:val="MdTableCell"/>
            </w:pPr>
            <w:r>
              <w:t xml:space="preserve">Formula: =AUM × 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P&amp;L on Notional (USD)</w:t>
            </w:r>
          </w:p>
        </w:tc>
        <w:tc>
          <w:tcPr>
            <w:tcBorders>
              <w:right w:val="none"/>
            </w:tcBorders>
            <w:tcMar>
              <w:top w:type="dxa" w:w="80"/>
              <w:left w:type="dxa" w:w="120"/>
              <w:bottom w:type="dxa" w:w="80"/>
              <w:right w:type="dxa" w:w="120"/>
            </w:tcMar>
            <w:vAlign w:val="center"/>
          </w:tcPr>
          <w:p>
            <w:pPr>
              <w:pStyle w:val="MdTableCell"/>
            </w:pPr>
            <w:r>
              <w:t xml:space="preserve">Formula: =Opening Notional × Daily Return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Closing NAV (USD)</w:t>
            </w:r>
          </w:p>
        </w:tc>
        <w:tc>
          <w:tcPr>
            <w:tcBorders>
              <w:right w:val="none"/>
            </w:tcBorders>
            <w:tcMar>
              <w:top w:type="dxa" w:w="80"/>
              <w:left w:type="dxa" w:w="120"/>
              <w:bottom w:type="dxa" w:w="80"/>
              <w:right w:type="dxa" w:w="120"/>
            </w:tcMar>
            <w:vAlign w:val="center"/>
          </w:tcPr>
          <w:p>
            <w:pPr>
              <w:pStyle w:val="MdTableCell"/>
            </w:pPr>
            <w:r>
              <w:t xml:space="preserve">Formula: =AUM + P&amp;L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Current Notional at Close (USD)</w:t>
            </w:r>
          </w:p>
        </w:tc>
        <w:tc>
          <w:tcPr>
            <w:tcBorders>
              <w:right w:val="none"/>
            </w:tcBorders>
            <w:tcMar>
              <w:top w:type="dxa" w:w="80"/>
              <w:left w:type="dxa" w:w="120"/>
              <w:bottom w:type="dxa" w:w="80"/>
              <w:right w:type="dxa" w:w="120"/>
            </w:tcMar>
            <w:vAlign w:val="center"/>
          </w:tcPr>
          <w:p>
            <w:pPr>
              <w:pStyle w:val="MdTableCell"/>
            </w:pPr>
            <w:r>
              <w:t xml:space="preserve">Formula: =Opening Notional × (1 + Daily Return)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Target Notional (USD)</w:t>
            </w:r>
          </w:p>
        </w:tc>
        <w:tc>
          <w:tcPr>
            <w:tcBorders>
              <w:right w:val="none"/>
            </w:tcBorders>
            <w:tcMar>
              <w:top w:type="dxa" w:w="80"/>
              <w:left w:type="dxa" w:w="120"/>
              <w:bottom w:type="dxa" w:w="80"/>
              <w:right w:type="dxa" w:w="120"/>
            </w:tcMar>
            <w:vAlign w:val="center"/>
          </w:tcPr>
          <w:p>
            <w:pPr>
              <w:pStyle w:val="MdTableCell"/>
            </w:pPr>
            <w:r>
              <w:t xml:space="preserve">Formula: =Closing NAV × 2</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Rebalance Amount (USD)</w:t>
            </w:r>
          </w:p>
        </w:tc>
        <w:tc>
          <w:tcPr>
            <w:tcBorders>
              <w:right w:val="none"/>
            </w:tcBorders>
            <w:tcMar>
              <w:top w:type="dxa" w:w="80"/>
              <w:left w:type="dxa" w:w="120"/>
              <w:bottom w:type="dxa" w:w="80"/>
              <w:right w:type="dxa" w:w="120"/>
            </w:tcMar>
            <w:vAlign w:val="center"/>
          </w:tcPr>
          <w:p>
            <w:pPr>
              <w:pStyle w:val="MdTableCell"/>
            </w:pPr>
            <w:r>
              <w:t xml:space="preserve">Formula: =Target Notional − Current Notional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Direction</w:t>
            </w:r>
          </w:p>
        </w:tc>
        <w:tc>
          <w:tcPr>
            <w:tcBorders>
              <w:right w:val="none"/>
            </w:tcBorders>
            <w:tcMar>
              <w:top w:type="dxa" w:w="80"/>
              <w:left w:type="dxa" w:w="120"/>
              <w:bottom w:type="dxa" w:w="80"/>
              <w:right w:type="dxa" w:w="120"/>
            </w:tcMar>
            <w:vAlign w:val="center"/>
          </w:tcPr>
          <w:p>
            <w:pPr>
              <w:pStyle w:val="MdTableCell"/>
            </w:pPr>
            <w:r>
              <w:t xml:space="preserve">"BUY" if positive, "SELL" if negative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Last-60-min Volume (shares)</w:t>
            </w:r>
          </w:p>
        </w:tc>
        <w:tc>
          <w:tcPr>
            <w:tcBorders>
              <w:right w:val="none"/>
            </w:tcBorders>
            <w:tcMar>
              <w:top w:type="dxa" w:w="80"/>
              <w:left w:type="dxa" w:w="120"/>
              <w:bottom w:type="dxa" w:w="80"/>
              <w:right w:type="dxa" w:w="120"/>
            </w:tcMar>
            <w:vAlign w:val="center"/>
          </w:tcPr>
          <w:p>
            <w:pPr>
              <w:pStyle w:val="MdTableCell"/>
            </w:pPr>
            <w:r>
              <w:t xml:space="preserve">From 60-min candlestick 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Last-60-min Avg Price (KRW)</w:t>
            </w:r>
          </w:p>
        </w:tc>
        <w:tc>
          <w:tcPr>
            <w:tcBorders>
              <w:right w:val="none"/>
            </w:tcBorders>
            <w:tcMar>
              <w:top w:type="dxa" w:w="80"/>
              <w:left w:type="dxa" w:w="120"/>
              <w:bottom w:type="dxa" w:w="80"/>
              <w:right w:type="dxa" w:w="120"/>
            </w:tcMar>
            <w:vAlign w:val="center"/>
          </w:tcPr>
          <w:p>
            <w:pPr>
              <w:pStyle w:val="MdTableCell"/>
            </w:pPr>
            <w:r>
              <w:t xml:space="preserve">From 60-min candlestick 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Last-60-min Open Price (KRW)</w:t>
            </w:r>
          </w:p>
        </w:tc>
        <w:tc>
          <w:tcPr>
            <w:tcBorders>
              <w:right w:val="none"/>
            </w:tcBorders>
            <w:tcMar>
              <w:top w:type="dxa" w:w="80"/>
              <w:left w:type="dxa" w:w="120"/>
              <w:bottom w:type="dxa" w:w="80"/>
              <w:right w:type="dxa" w:w="120"/>
            </w:tcMar>
            <w:vAlign w:val="center"/>
          </w:tcPr>
          <w:p>
            <w:pPr>
              <w:pStyle w:val="MdTableCell"/>
            </w:pPr>
            <w:r>
              <w:t xml:space="preserve">From 60-min candlestick 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Last-60-min Close Price (KRW)</w:t>
            </w:r>
          </w:p>
        </w:tc>
        <w:tc>
          <w:tcPr>
            <w:tcBorders>
              <w:right w:val="none"/>
            </w:tcBorders>
            <w:tcMar>
              <w:top w:type="dxa" w:w="80"/>
              <w:left w:type="dxa" w:w="120"/>
              <w:bottom w:type="dxa" w:w="80"/>
              <w:right w:type="dxa" w:w="120"/>
            </w:tcMar>
            <w:vAlign w:val="center"/>
          </w:tcPr>
          <w:p>
            <w:pPr>
              <w:pStyle w:val="MdTableCell"/>
            </w:pPr>
            <w:r>
              <w:t xml:space="preserve">From 60-min candlestick data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Last-60-min Turnover (KRW)</w:t>
            </w:r>
          </w:p>
        </w:tc>
        <w:tc>
          <w:tcPr>
            <w:tcBorders>
              <w:right w:val="none"/>
            </w:tcBorders>
            <w:tcMar>
              <w:top w:type="dxa" w:w="80"/>
              <w:left w:type="dxa" w:w="120"/>
              <w:bottom w:type="dxa" w:w="80"/>
              <w:right w:type="dxa" w:w="120"/>
            </w:tcMar>
            <w:vAlign w:val="center"/>
          </w:tcPr>
          <w:p>
            <w:pPr>
              <w:pStyle w:val="MdTableCell"/>
            </w:pPr>
            <w:r>
              <w:t xml:space="preserve">Formula: =Volume × Avg Price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Last-60-min Turnover (USD)</w:t>
            </w:r>
          </w:p>
        </w:tc>
        <w:tc>
          <w:tcPr>
            <w:tcBorders>
              <w:right w:val="none"/>
            </w:tcBorders>
            <w:tcMar>
              <w:top w:type="dxa" w:w="80"/>
              <w:left w:type="dxa" w:w="120"/>
              <w:bottom w:type="dxa" w:w="80"/>
              <w:right w:type="dxa" w:w="120"/>
            </w:tcMar>
            <w:vAlign w:val="center"/>
          </w:tcPr>
          <w:p>
            <w:pPr>
              <w:pStyle w:val="MdTableCell"/>
            </w:pPr>
            <w:r>
              <w:t xml:space="preserve">Formula: =Turnover KRW / FX Rate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Impact Ratio (%)</w:t>
            </w:r>
          </w:p>
        </w:tc>
        <w:tc>
          <w:tcPr>
            <w:tcBorders>
              <w:right w:val="none"/>
            </w:tcBorders>
            <w:tcMar>
              <w:top w:type="dxa" w:w="80"/>
              <w:left w:type="dxa" w:w="120"/>
              <w:bottom w:type="dxa" w:w="80"/>
              <w:right w:type="dxa" w:w="120"/>
            </w:tcMar>
            <w:vAlign w:val="center"/>
          </w:tcPr>
          <w:p>
            <w:pPr>
              <w:pStyle w:val="MdTableCell"/>
            </w:pPr>
            <w:r>
              <w:t xml:space="preserve">Formula: =</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Last-60-min Price Change (%)</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Formula: =(Last close − Last open) / Last open</w:t>
            </w:r>
          </w:p>
        </w:tc>
      </w:tr>
    </w:tbl>
    <w:p>
      <w:pPr>
        <w:pStyle w:val="MdListItem"/>
        <w:numPr>
          <w:ilvl w:val="0"/>
          <w:numId w:val="2"/>
        </w:numPr>
      </w:pPr>
      <w:r>
        <w:t xml:space="preserve">Use </w:t>
      </w:r>
      <w:r>
        <w:rPr>
          <w:rStyle w:val="MdStrong"/>
          <w:b/>
          <w:bCs/>
        </w:rPr>
        <w:t xml:space="preserve">yellow fill</w:t>
      </w:r>
      <w:r>
        <w:t xml:space="preserve"> for all input cells (data entered manually)</w:t>
      </w:r>
    </w:p>
    <w:p>
      <w:pPr>
        <w:pStyle w:val="MdListItem"/>
        <w:numPr>
          <w:ilvl w:val="0"/>
          <w:numId w:val="2"/>
        </w:numPr>
      </w:pPr>
      <w:r>
        <w:t xml:space="preserve">Use </w:t>
      </w:r>
      <w:r>
        <w:rPr>
          <w:rStyle w:val="MdStrong"/>
          <w:b/>
          <w:bCs/>
        </w:rPr>
        <w:t xml:space="preserve">blue fill</w:t>
      </w:r>
      <w:r>
        <w:t xml:space="preserve"> for all formula cells (calculated automatically)</w:t>
      </w:r>
    </w:p>
    <w:p>
      <w:pPr>
        <w:pStyle w:val="MdListItem"/>
        <w:numPr>
          <w:ilvl w:val="0"/>
          <w:numId w:val="2"/>
        </w:numPr>
      </w:pPr>
      <w:r>
        <w:t xml:space="preserve">Use </w:t>
      </w:r>
      <w:r>
        <w:rPr>
          <w:rStyle w:val="MdStrong"/>
          <w:b/>
          <w:bCs/>
        </w:rPr>
        <w:t xml:space="preserve">red fill</w:t>
      </w:r>
      <w:r>
        <w:t xml:space="preserve"> for SELL rows, </w:t>
      </w:r>
      <w:r>
        <w:rPr>
          <w:rStyle w:val="MdStrong"/>
          <w:b/>
          <w:bCs/>
        </w:rPr>
        <w:t xml:space="preserve">green fill</w:t>
      </w:r>
      <w:r>
        <w:t xml:space="preserve"> for BUY rows in the Rebalance Amount column</w:t>
      </w:r>
    </w:p>
    <w:p>
      <w:pPr>
        <w:pStyle w:val="MdListItem"/>
        <w:numPr>
          <w:ilvl w:val="0"/>
          <w:numId w:val="2"/>
        </w:numPr>
      </w:pPr>
      <w:r>
        <w:t xml:space="preserve">Separate the two groups with a blank row and group label</w:t>
      </w:r>
    </w:p>
    <w:p>
      <w:pPr>
        <w:pStyle w:val="MdSpace"/>
        <w:spacing w:before="0" w:after="60"/>
      </w:pPr>
    </w:p>
    <w:p>
      <w:pPr>
        <w:pStyle w:val="Heading3"/>
        <w:pStyle w:val="MdHeading3"/>
      </w:pPr>
      <w:r>
        <w:t xml:space="preserve">Sheet 2: "Summary Statistics"</w:t>
      </w:r>
    </w:p>
    <w:p>
      <w:pPr>
        <w:pStyle w:val="MdParagraph"/>
      </w:pPr>
      <w:r>
        <w:t xml:space="preserve">Compute for each group:</w:t>
      </w:r>
    </w:p>
    <w:p>
      <w:pPr>
        <w:pStyle w:val="MdListItem"/>
        <w:numPr>
          <w:ilvl w:val="0"/>
          <w:numId w:val="2"/>
        </w:numPr>
      </w:pPr>
      <w:r>
        <w:t xml:space="preserve">Average |Rebalance Amount| (USD)</w:t>
      </w:r>
    </w:p>
    <w:p>
      <w:pPr>
        <w:pStyle w:val="MdListItem"/>
        <w:numPr>
          <w:ilvl w:val="0"/>
          <w:numId w:val="2"/>
        </w:numPr>
      </w:pPr>
      <w:r>
        <w:t xml:space="preserve">Average Impact Ratio (%)</w:t>
      </w:r>
    </w:p>
    <w:p>
      <w:pPr>
        <w:pStyle w:val="MdListItem"/>
        <w:numPr>
          <w:ilvl w:val="0"/>
          <w:numId w:val="2"/>
        </w:numPr>
      </w:pPr>
      <w:r>
        <w:t xml:space="preserve">Average |Last-60-min Price Change| (%)</w:t>
      </w:r>
    </w:p>
    <w:p>
      <w:pPr>
        <w:pStyle w:val="MdListItem"/>
        <w:numPr>
          <w:ilvl w:val="0"/>
          <w:numId w:val="2"/>
        </w:numPr>
      </w:pPr>
      <w:r>
        <w:t xml:space="preserve">Count of days where rebalance direction = last-hour price direction (consistency count)</w:t>
      </w:r>
    </w:p>
    <w:p>
      <w:pPr>
        <w:pStyle w:val="MdListItem"/>
        <w:numPr>
          <w:ilvl w:val="0"/>
          <w:numId w:val="2"/>
        </w:numPr>
      </w:pPr>
      <w:r>
        <w:t xml:space="preserve">Consistency ratio (%)</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5: Charts to Generate</w:t>
      </w:r>
    </w:p>
    <w:p>
      <w:pPr>
        <w:pStyle w:val="Heading3"/>
        <w:pStyle w:val="MdHeading3"/>
      </w:pPr>
      <w:r>
        <w:t xml:space="preserve">Chart 1: Grouped Bar Chart — Rebalance Amount vs Last-60-min Turnover</w:t>
      </w:r>
    </w:p>
    <w:p>
      <w:pPr>
        <w:pStyle w:val="MdListItem"/>
        <w:numPr>
          <w:ilvl w:val="0"/>
          <w:numId w:val="2"/>
        </w:numPr>
      </w:pPr>
      <w:r>
        <w:t xml:space="preserve">X-axis: Trading date (all 12 days, Extreme group on left, Control group on right)</w:t>
      </w:r>
    </w:p>
    <w:p>
      <w:pPr>
        <w:pStyle w:val="MdListItem"/>
        <w:numPr>
          <w:ilvl w:val="0"/>
          <w:numId w:val="2"/>
        </w:numPr>
      </w:pPr>
      <w:r>
        <w:t xml:space="preserve">Y-axis: USD Billion</w:t>
      </w:r>
    </w:p>
    <w:p>
      <w:pPr>
        <w:pStyle w:val="MdListItem"/>
        <w:numPr>
          <w:ilvl w:val="0"/>
          <w:numId w:val="2"/>
        </w:numPr>
      </w:pPr>
      <w:r>
        <w:t xml:space="preserve">Three bar series: BUY rebalance (green), SELL rebalance (red), Last-60-min turnover (grey)</w:t>
      </w:r>
    </w:p>
    <w:p>
      <w:pPr>
        <w:pStyle w:val="MdListItem"/>
        <w:numPr>
          <w:ilvl w:val="0"/>
          <w:numId w:val="2"/>
        </w:numPr>
      </w:pPr>
      <w:r>
        <w:t xml:space="preserve">Add text annotations showing average Impact Ratio for each group ("Average: 127%" and "Average: 17%")</w:t>
      </w:r>
    </w:p>
    <w:p>
      <w:pPr>
        <w:pStyle w:val="MdListItem"/>
        <w:numPr>
          <w:ilvl w:val="0"/>
          <w:numId w:val="2"/>
        </w:numPr>
      </w:pPr>
      <w:r>
        <w:t xml:space="preserve">Add vertical divider between the two groups with group labels</w:t>
      </w:r>
    </w:p>
    <w:p>
      <w:pPr>
        <w:pStyle w:val="MdSpace"/>
        <w:spacing w:before="0" w:after="60"/>
      </w:pPr>
    </w:p>
    <w:p>
      <w:pPr>
        <w:pStyle w:val="Heading3"/>
        <w:pStyle w:val="MdHeading3"/>
      </w:pPr>
      <w:r>
        <w:t xml:space="preserve">Chart 2: Scatter Plot — Impact Ratio vs Last-60-min Price Change (Raw Direction)</w:t>
      </w:r>
    </w:p>
    <w:p>
      <w:pPr>
        <w:pStyle w:val="MdListItem"/>
        <w:numPr>
          <w:ilvl w:val="0"/>
          <w:numId w:val="2"/>
        </w:numPr>
      </w:pPr>
      <w:r>
        <w:t xml:space="preserve">X-axis: Impact Ratio (%)</w:t>
      </w:r>
    </w:p>
    <w:p>
      <w:pPr>
        <w:pStyle w:val="MdListItem"/>
        <w:numPr>
          <w:ilvl w:val="0"/>
          <w:numId w:val="2"/>
        </w:numPr>
      </w:pPr>
      <w:r>
        <w:t xml:space="preserve">Y-axis: Last-60-min Price Change (%, with sign)</w:t>
      </w:r>
    </w:p>
    <w:p>
      <w:pPr>
        <w:pStyle w:val="MdListItem"/>
        <w:numPr>
          <w:ilvl w:val="0"/>
          <w:numId w:val="2"/>
        </w:numPr>
      </w:pPr>
      <w:r>
        <w:t xml:space="preserve">Extreme days: red diamonds; Control days: blue circles</w:t>
      </w:r>
    </w:p>
    <w:p>
      <w:pPr>
        <w:pStyle w:val="MdListItem"/>
        <w:numPr>
          <w:ilvl w:val="0"/>
          <w:numId w:val="2"/>
        </w:numPr>
      </w:pPr>
      <w:r>
        <w:t xml:space="preserve">Label each point with the date</w:t>
      </w:r>
    </w:p>
    <w:p>
      <w:pPr>
        <w:pStyle w:val="MdListItem"/>
        <w:numPr>
          <w:ilvl w:val="0"/>
          <w:numId w:val="2"/>
        </w:numPr>
      </w:pPr>
      <w:r>
        <w:t xml:space="preserve">Add horizontal reference line at Y=0</w:t>
      </w:r>
    </w:p>
    <w:p>
      <w:pPr>
        <w:pStyle w:val="MdListItem"/>
        <w:numPr>
          <w:ilvl w:val="0"/>
          <w:numId w:val="2"/>
        </w:numPr>
      </w:pPr>
      <w:r>
        <w:t xml:space="preserve">Add linear trend line with slope annotation</w:t>
      </w:r>
    </w:p>
    <w:p>
      <w:pPr>
        <w:pStyle w:val="MdSpace"/>
        <w:spacing w:before="0" w:after="60"/>
      </w:pPr>
    </w:p>
    <w:p>
      <w:pPr>
        <w:pStyle w:val="Heading3"/>
        <w:pStyle w:val="MdHeading3"/>
      </w:pPr>
      <w:r>
        <w:t xml:space="preserve">Chart 3: Scatter Plot — Impact Ratio vs |Last-60-min Price Change| (Absolute Value)</w:t>
      </w:r>
    </w:p>
    <w:p>
      <w:pPr>
        <w:pStyle w:val="MdListItem"/>
        <w:numPr>
          <w:ilvl w:val="0"/>
          <w:numId w:val="2"/>
        </w:numPr>
      </w:pPr>
      <w:r>
        <w:t xml:space="preserve">Same as Chart 2 but Y-axis uses absolute value of price change</w:t>
      </w:r>
    </w:p>
    <w:p>
      <w:pPr>
        <w:pStyle w:val="MdListItem"/>
        <w:numPr>
          <w:ilvl w:val="0"/>
          <w:numId w:val="2"/>
        </w:numPr>
      </w:pPr>
      <w:r>
        <w:t xml:space="preserve">Add linear trend line</w:t>
      </w:r>
    </w:p>
    <w:p>
      <w:pPr>
        <w:pStyle w:val="MdListItem"/>
        <w:numPr>
          <w:ilvl w:val="0"/>
          <w:numId w:val="2"/>
        </w:numPr>
      </w:pPr>
      <w:r>
        <w:t xml:space="preserve">Annotate R² value prominently on the chart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6: Interpretation Notes</w:t>
      </w:r>
    </w:p>
    <w:p>
      <w:pPr>
        <w:pStyle w:val="MdParagraph"/>
      </w:pPr>
      <w:r>
        <w:t xml:space="preserve">When writing chart titles and annotations, use the following framing:</w:t>
      </w:r>
    </w:p>
    <w:p>
      <w:pPr>
        <w:pStyle w:val="MdSpace"/>
        <w:spacing w:before="0" w:after="60"/>
      </w:pPr>
    </w:p>
    <w:p>
      <w:pPr>
        <w:pStyle w:val="MdListItem"/>
        <w:numPr>
          <w:ilvl w:val="0"/>
          <w:numId w:val="2"/>
        </w:numPr>
      </w:pPr>
      <w:r>
        <w:rPr>
          <w:rStyle w:val="MdStrong"/>
          <w:b/>
          <w:bCs/>
        </w:rPr>
        <w:t xml:space="preserve">If R² is close to 0:</w:t>
      </w:r>
      <w:r>
        <w:t xml:space="preserve"> "Impact Ratio explains X% of last-hour price volatility. The near-zero R² suggests that even when rebalancing pressure exceeds 100% of last-hour turnover, the market absorbs this structural flow without a measurable linear price impact. This is consistent with informed liquidity provision by market participants who can predict the rebalancing direction and size in advance."</w:t>
      </w:r>
    </w:p>
    <w:p>
      <w:pPr>
        <w:pStyle w:val="MdListItem"/>
        <w:numPr>
          <w:ilvl w:val="0"/>
          <w:numId w:val="2"/>
        </w:numPr>
      </w:pPr>
      <w:r>
        <w:rPr>
          <w:rStyle w:val="MdStrong"/>
          <w:b/>
          <w:bCs/>
        </w:rPr>
        <w:t xml:space="preserve">If direction consistency &lt; 60%:</w:t>
      </w:r>
      <w:r>
        <w:t xml:space="preserve"> "Rebalancing direction and last-hour price direction are consistent in X out of Y cases, which is indistinguishable from random (50%). This further supports the absence of a directional rebalancing effect."</w:t>
      </w:r>
    </w:p>
    <w:p>
      <w:pPr>
        <w:pStyle w:val="MdListItem"/>
        <w:numPr>
          <w:ilvl w:val="0"/>
          <w:numId w:val="2"/>
        </w:numPr>
      </w:pPr>
      <w:r>
        <w:rPr>
          <w:rStyle w:val="MdStrong"/>
          <w:b/>
          <w:bCs/>
        </w:rPr>
        <w:t xml:space="preserve">Caveat to always include:</w:t>
      </w:r>
      <w:r>
        <w:t xml:space="preserve"> "Results are based on N trading days. Statistical power is limited at this sample size; conclusions should be treated as preliminary and subject to validation with a larger dataset."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 Data (Pre-filled, as of June 2026)</w:t>
      </w:r>
    </w:p>
    <w:p>
      <w:pPr>
        <w:pStyle w:val="Heading3"/>
        <w:pStyle w:val="MdHeading3"/>
      </w:pPr>
      <w:r>
        <w:t xml:space="preserve">Extreme Group</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T-1 Date</w:t>
            </w:r>
          </w:p>
        </w:tc>
        <w:tc>
          <w:tcPr>
            <w:tcMar>
              <w:top w:type="dxa" w:w="100"/>
              <w:left w:type="dxa" w:w="120"/>
              <w:bottom w:type="dxa" w:w="100"/>
              <w:right w:type="dxa" w:w="120"/>
            </w:tcMar>
            <w:vAlign w:val="center"/>
          </w:tcPr>
          <w:p>
            <w:pPr>
              <w:pStyle w:val="MdTableHeader"/>
            </w:pPr>
            <w:r>
              <w:t xml:space="preserve">T Date</w:t>
            </w:r>
          </w:p>
        </w:tc>
        <w:tc>
          <w:tcPr>
            <w:tcMar>
              <w:top w:type="dxa" w:w="100"/>
              <w:left w:type="dxa" w:w="120"/>
              <w:bottom w:type="dxa" w:w="100"/>
              <w:right w:type="dxa" w:w="120"/>
            </w:tcMar>
            <w:vAlign w:val="center"/>
          </w:tcPr>
          <w:p>
            <w:pPr>
              <w:pStyle w:val="MdTableHeader"/>
            </w:pPr>
            <w:r>
              <w:t xml:space="preserve">T-1 AUM (USD)</w:t>
            </w:r>
          </w:p>
        </w:tc>
        <w:tc>
          <w:tcPr>
            <w:tcMar>
              <w:top w:type="dxa" w:w="100"/>
              <w:left w:type="dxa" w:w="120"/>
              <w:bottom w:type="dxa" w:w="100"/>
              <w:right w:type="dxa" w:w="120"/>
            </w:tcMar>
            <w:vAlign w:val="center"/>
          </w:tcPr>
          <w:p>
            <w:pPr>
              <w:pStyle w:val="MdTableHeader"/>
            </w:pPr>
            <w:r>
              <w:t xml:space="preserve">T-1 SK Hynix Close (KRW)</w:t>
            </w:r>
          </w:p>
        </w:tc>
        <w:tc>
          <w:tcPr>
            <w:tcBorders>
              <w:right w:val="none"/>
            </w:tcBorders>
            <w:tcMar>
              <w:top w:type="dxa" w:w="100"/>
              <w:left w:type="dxa" w:w="120"/>
              <w:bottom w:type="dxa" w:w="100"/>
              <w:right w:type="dxa" w:w="120"/>
            </w:tcMar>
            <w:vAlign w:val="center"/>
          </w:tcPr>
          <w:p>
            <w:pPr>
              <w:pStyle w:val="MdTableHeader"/>
            </w:pPr>
            <w:r>
              <w:t xml:space="preserve">T SK Hynix Close (KRW)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04-May-26</w:t>
            </w:r>
          </w:p>
        </w:tc>
        <w:tc>
          <w:tcPr>
            <w:tcMar>
              <w:top w:type="dxa" w:w="80"/>
              <w:left w:type="dxa" w:w="120"/>
              <w:bottom w:type="dxa" w:w="80"/>
              <w:right w:type="dxa" w:w="120"/>
            </w:tcMar>
            <w:vAlign w:val="center"/>
          </w:tcPr>
          <w:p>
            <w:pPr>
              <w:pStyle w:val="MdTableCell"/>
            </w:pPr>
            <w:r>
              <w:t xml:space="preserve">06-May-26</w:t>
            </w:r>
          </w:p>
        </w:tc>
        <w:tc>
          <w:tcPr>
            <w:tcMar>
              <w:top w:type="dxa" w:w="80"/>
              <w:left w:type="dxa" w:w="120"/>
              <w:bottom w:type="dxa" w:w="80"/>
              <w:right w:type="dxa" w:w="120"/>
            </w:tcMar>
            <w:vAlign w:val="center"/>
          </w:tcPr>
          <w:p>
            <w:pPr>
              <w:pStyle w:val="MdTableCell"/>
            </w:pPr>
            <w:r>
              <w:t xml:space="preserve">8,379,449,337.00</w:t>
            </w:r>
          </w:p>
        </w:tc>
        <w:tc>
          <w:tcPr>
            <w:tcMar>
              <w:top w:type="dxa" w:w="80"/>
              <w:left w:type="dxa" w:w="120"/>
              <w:bottom w:type="dxa" w:w="80"/>
              <w:right w:type="dxa" w:w="120"/>
            </w:tcMar>
            <w:vAlign w:val="center"/>
          </w:tcPr>
          <w:p>
            <w:pPr>
              <w:pStyle w:val="MdTableCell"/>
            </w:pPr>
            <w:r>
              <w:t xml:space="preserve">1,447,000</w:t>
            </w:r>
          </w:p>
        </w:tc>
        <w:tc>
          <w:tcPr>
            <w:tcBorders>
              <w:right w:val="none"/>
            </w:tcBorders>
            <w:tcMar>
              <w:top w:type="dxa" w:w="80"/>
              <w:left w:type="dxa" w:w="120"/>
              <w:bottom w:type="dxa" w:w="80"/>
              <w:right w:type="dxa" w:w="120"/>
            </w:tcMar>
            <w:vAlign w:val="center"/>
          </w:tcPr>
          <w:p>
            <w:pPr>
              <w:pStyle w:val="MdTableCell"/>
            </w:pPr>
            <w:r>
              <w:t xml:space="preserve">1,601,000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20-May-26</w:t>
            </w:r>
          </w:p>
        </w:tc>
        <w:tc>
          <w:tcPr>
            <w:tcMar>
              <w:top w:type="dxa" w:w="80"/>
              <w:left w:type="dxa" w:w="120"/>
              <w:bottom w:type="dxa" w:w="80"/>
              <w:right w:type="dxa" w:w="120"/>
            </w:tcMar>
            <w:vAlign w:val="center"/>
          </w:tcPr>
          <w:p>
            <w:pPr>
              <w:pStyle w:val="MdTableCell"/>
            </w:pPr>
            <w:r>
              <w:t xml:space="preserve">21-May-26</w:t>
            </w:r>
          </w:p>
        </w:tc>
        <w:tc>
          <w:tcPr>
            <w:tcMar>
              <w:top w:type="dxa" w:w="80"/>
              <w:left w:type="dxa" w:w="120"/>
              <w:bottom w:type="dxa" w:w="80"/>
              <w:right w:type="dxa" w:w="120"/>
            </w:tcMar>
            <w:vAlign w:val="center"/>
          </w:tcPr>
          <w:p>
            <w:pPr>
              <w:pStyle w:val="MdTableCell"/>
            </w:pPr>
            <w:r>
              <w:t xml:space="preserve">6,195,399,520.43</w:t>
            </w:r>
          </w:p>
        </w:tc>
        <w:tc>
          <w:tcPr>
            <w:tcMar>
              <w:top w:type="dxa" w:w="80"/>
              <w:left w:type="dxa" w:w="120"/>
              <w:bottom w:type="dxa" w:w="80"/>
              <w:right w:type="dxa" w:w="120"/>
            </w:tcMar>
            <w:vAlign w:val="center"/>
          </w:tcPr>
          <w:p>
            <w:pPr>
              <w:pStyle w:val="MdTableCell"/>
            </w:pPr>
            <w:r>
              <w:t xml:space="preserve">1,744,722</w:t>
            </w:r>
          </w:p>
        </w:tc>
        <w:tc>
          <w:tcPr>
            <w:tcBorders>
              <w:right w:val="none"/>
            </w:tcBorders>
            <w:tcMar>
              <w:top w:type="dxa" w:w="80"/>
              <w:left w:type="dxa" w:w="120"/>
              <w:bottom w:type="dxa" w:w="80"/>
              <w:right w:type="dxa" w:w="120"/>
            </w:tcMar>
            <w:vAlign w:val="center"/>
          </w:tcPr>
          <w:p>
            <w:pPr>
              <w:pStyle w:val="MdTableCell"/>
            </w:pPr>
            <w:r>
              <w:t xml:space="preserve">1,939,691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05-Jun-26</w:t>
            </w:r>
          </w:p>
        </w:tc>
        <w:tc>
          <w:tcPr>
            <w:tcMar>
              <w:top w:type="dxa" w:w="80"/>
              <w:left w:type="dxa" w:w="120"/>
              <w:bottom w:type="dxa" w:w="80"/>
              <w:right w:type="dxa" w:w="120"/>
            </w:tcMar>
            <w:vAlign w:val="center"/>
          </w:tcPr>
          <w:p>
            <w:pPr>
              <w:pStyle w:val="MdTableCell"/>
            </w:pPr>
            <w:r>
              <w:t xml:space="preserve">08-Jun-26</w:t>
            </w:r>
          </w:p>
        </w:tc>
        <w:tc>
          <w:tcPr>
            <w:tcMar>
              <w:top w:type="dxa" w:w="80"/>
              <w:left w:type="dxa" w:w="120"/>
              <w:bottom w:type="dxa" w:w="80"/>
              <w:right w:type="dxa" w:w="120"/>
            </w:tcMar>
            <w:vAlign w:val="center"/>
          </w:tcPr>
          <w:p>
            <w:pPr>
              <w:pStyle w:val="MdTableCell"/>
            </w:pPr>
            <w:r>
              <w:t xml:space="preserve">8,493,534,033.00</w:t>
            </w:r>
          </w:p>
        </w:tc>
        <w:tc>
          <w:tcPr>
            <w:tcMar>
              <w:top w:type="dxa" w:w="80"/>
              <w:left w:type="dxa" w:w="120"/>
              <w:bottom w:type="dxa" w:w="80"/>
              <w:right w:type="dxa" w:w="120"/>
            </w:tcMar>
            <w:vAlign w:val="center"/>
          </w:tcPr>
          <w:p>
            <w:pPr>
              <w:pStyle w:val="MdTableCell"/>
            </w:pPr>
            <w:r>
              <w:t xml:space="preserve">2,070,000</w:t>
            </w:r>
          </w:p>
        </w:tc>
        <w:tc>
          <w:tcPr>
            <w:tcBorders>
              <w:right w:val="none"/>
            </w:tcBorders>
            <w:tcMar>
              <w:top w:type="dxa" w:w="80"/>
              <w:left w:type="dxa" w:w="120"/>
              <w:bottom w:type="dxa" w:w="80"/>
              <w:right w:type="dxa" w:w="120"/>
            </w:tcMar>
            <w:vAlign w:val="center"/>
          </w:tcPr>
          <w:p>
            <w:pPr>
              <w:pStyle w:val="MdTableCell"/>
            </w:pPr>
            <w:r>
              <w:t xml:space="preserve">1,911,000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08-Jun-26</w:t>
            </w:r>
          </w:p>
        </w:tc>
        <w:tc>
          <w:tcPr>
            <w:tcMar>
              <w:top w:type="dxa" w:w="80"/>
              <w:left w:type="dxa" w:w="120"/>
              <w:bottom w:type="dxa" w:w="80"/>
              <w:right w:type="dxa" w:w="120"/>
            </w:tcMar>
            <w:vAlign w:val="center"/>
          </w:tcPr>
          <w:p>
            <w:pPr>
              <w:pStyle w:val="MdTableCell"/>
            </w:pPr>
            <w:r>
              <w:t xml:space="preserve">09-Jun-26</w:t>
            </w:r>
          </w:p>
        </w:tc>
        <w:tc>
          <w:tcPr>
            <w:tcMar>
              <w:top w:type="dxa" w:w="80"/>
              <w:left w:type="dxa" w:w="120"/>
              <w:bottom w:type="dxa" w:w="80"/>
              <w:right w:type="dxa" w:w="120"/>
            </w:tcMar>
            <w:vAlign w:val="center"/>
          </w:tcPr>
          <w:p>
            <w:pPr>
              <w:pStyle w:val="MdTableCell"/>
            </w:pPr>
            <w:r>
              <w:t xml:space="preserve">7,382,296,551.00</w:t>
            </w:r>
          </w:p>
        </w:tc>
        <w:tc>
          <w:tcPr>
            <w:tcMar>
              <w:top w:type="dxa" w:w="80"/>
              <w:left w:type="dxa" w:w="120"/>
              <w:bottom w:type="dxa" w:w="80"/>
              <w:right w:type="dxa" w:w="120"/>
            </w:tcMar>
            <w:vAlign w:val="center"/>
          </w:tcPr>
          <w:p>
            <w:pPr>
              <w:pStyle w:val="MdTableCell"/>
            </w:pPr>
            <w:r>
              <w:t xml:space="preserve">1,911,000</w:t>
            </w:r>
          </w:p>
        </w:tc>
        <w:tc>
          <w:tcPr>
            <w:tcBorders>
              <w:right w:val="none"/>
            </w:tcBorders>
            <w:tcMar>
              <w:top w:type="dxa" w:w="80"/>
              <w:left w:type="dxa" w:w="120"/>
              <w:bottom w:type="dxa" w:w="80"/>
              <w:right w:type="dxa" w:w="120"/>
            </w:tcMar>
            <w:vAlign w:val="center"/>
          </w:tcPr>
          <w:p>
            <w:pPr>
              <w:pStyle w:val="MdTableCell"/>
            </w:pPr>
            <w:r>
              <w:t xml:space="preserve">2,215,000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22-Jun-26</w:t>
            </w:r>
          </w:p>
        </w:tc>
        <w:tc>
          <w:tcPr>
            <w:tcMar>
              <w:top w:type="dxa" w:w="80"/>
              <w:left w:type="dxa" w:w="120"/>
              <w:bottom w:type="dxa" w:w="80"/>
              <w:right w:type="dxa" w:w="120"/>
            </w:tcMar>
            <w:vAlign w:val="center"/>
          </w:tcPr>
          <w:p>
            <w:pPr>
              <w:pStyle w:val="MdTableCell"/>
            </w:pPr>
            <w:r>
              <w:t xml:space="preserve">23-Jun-26</w:t>
            </w:r>
          </w:p>
        </w:tc>
        <w:tc>
          <w:tcPr>
            <w:tcMar>
              <w:top w:type="dxa" w:w="80"/>
              <w:left w:type="dxa" w:w="120"/>
              <w:bottom w:type="dxa" w:w="80"/>
              <w:right w:type="dxa" w:w="120"/>
            </w:tcMar>
            <w:vAlign w:val="center"/>
          </w:tcPr>
          <w:p>
            <w:pPr>
              <w:pStyle w:val="MdTableCell"/>
            </w:pPr>
            <w:r>
              <w:t xml:space="preserve">16,847,645,395.01</w:t>
            </w:r>
          </w:p>
        </w:tc>
        <w:tc>
          <w:tcPr>
            <w:tcMar>
              <w:top w:type="dxa" w:w="80"/>
              <w:left w:type="dxa" w:w="120"/>
              <w:bottom w:type="dxa" w:w="80"/>
              <w:right w:type="dxa" w:w="120"/>
            </w:tcMar>
            <w:vAlign w:val="center"/>
          </w:tcPr>
          <w:p>
            <w:pPr>
              <w:pStyle w:val="MdTableCell"/>
            </w:pPr>
            <w:r>
              <w:t xml:space="preserve">2,919,000</w:t>
            </w:r>
          </w:p>
        </w:tc>
        <w:tc>
          <w:tcPr>
            <w:tcBorders>
              <w:right w:val="none"/>
            </w:tcBorders>
            <w:tcMar>
              <w:top w:type="dxa" w:w="80"/>
              <w:left w:type="dxa" w:w="120"/>
              <w:bottom w:type="dxa" w:w="80"/>
              <w:right w:type="dxa" w:w="120"/>
            </w:tcMar>
            <w:vAlign w:val="center"/>
          </w:tcPr>
          <w:p>
            <w:pPr>
              <w:pStyle w:val="MdTableCell"/>
            </w:pPr>
            <w:r>
              <w:t xml:space="preserve">2,555,000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25-Jun-26</w:t>
            </w:r>
          </w:p>
        </w:tc>
        <w:tc>
          <w:tcPr>
            <w:tcBorders>
              <w:bottom w:val="single" w:color="E1E4E8" w:sz="4"/>
            </w:tcBorders>
            <w:tcMar>
              <w:top w:type="dxa" w:w="80"/>
              <w:left w:type="dxa" w:w="120"/>
              <w:bottom w:type="dxa" w:w="80"/>
              <w:right w:type="dxa" w:w="120"/>
            </w:tcMar>
            <w:vAlign w:val="center"/>
          </w:tcPr>
          <w:p>
            <w:pPr>
              <w:pStyle w:val="MdTableCell"/>
            </w:pPr>
            <w:r>
              <w:t xml:space="preserve">26-Jun-26</w:t>
            </w:r>
          </w:p>
        </w:tc>
        <w:tc>
          <w:tcPr>
            <w:tcBorders>
              <w:bottom w:val="single" w:color="E1E4E8" w:sz="4"/>
            </w:tcBorders>
            <w:tcMar>
              <w:top w:type="dxa" w:w="80"/>
              <w:left w:type="dxa" w:w="120"/>
              <w:bottom w:type="dxa" w:w="80"/>
              <w:right w:type="dxa" w:w="120"/>
            </w:tcMar>
            <w:vAlign w:val="center"/>
          </w:tcPr>
          <w:p>
            <w:pPr>
              <w:pStyle w:val="MdTableCell"/>
            </w:pPr>
            <w:r>
              <w:t xml:space="preserve">15,918,680,000.00</w:t>
            </w:r>
          </w:p>
        </w:tc>
        <w:tc>
          <w:tcPr>
            <w:tcBorders>
              <w:bottom w:val="single" w:color="E1E4E8" w:sz="4"/>
            </w:tcBorders>
            <w:tcMar>
              <w:top w:type="dxa" w:w="80"/>
              <w:left w:type="dxa" w:w="120"/>
              <w:bottom w:type="dxa" w:w="80"/>
              <w:right w:type="dxa" w:w="120"/>
            </w:tcMar>
            <w:vAlign w:val="center"/>
          </w:tcPr>
          <w:p>
            <w:pPr>
              <w:pStyle w:val="MdTableCell"/>
            </w:pPr>
            <w:r>
              <w:t xml:space="preserve">2,917,000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2,673,000</w:t>
            </w:r>
          </w:p>
        </w:tc>
      </w:tr>
    </w:tbl>
    <w:p>
      <w:pPr>
        <w:pStyle w:val="Heading3"/>
        <w:pStyle w:val="MdHeading3"/>
      </w:pPr>
      <w:r>
        <w:t xml:space="preserve">Control Group</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T-1 Date</w:t>
            </w:r>
          </w:p>
        </w:tc>
        <w:tc>
          <w:tcPr>
            <w:tcMar>
              <w:top w:type="dxa" w:w="100"/>
              <w:left w:type="dxa" w:w="120"/>
              <w:bottom w:type="dxa" w:w="100"/>
              <w:right w:type="dxa" w:w="120"/>
            </w:tcMar>
            <w:vAlign w:val="center"/>
          </w:tcPr>
          <w:p>
            <w:pPr>
              <w:pStyle w:val="MdTableHeader"/>
            </w:pPr>
            <w:r>
              <w:t xml:space="preserve">T Date</w:t>
            </w:r>
          </w:p>
        </w:tc>
        <w:tc>
          <w:tcPr>
            <w:tcMar>
              <w:top w:type="dxa" w:w="100"/>
              <w:left w:type="dxa" w:w="120"/>
              <w:bottom w:type="dxa" w:w="100"/>
              <w:right w:type="dxa" w:w="120"/>
            </w:tcMar>
            <w:vAlign w:val="center"/>
          </w:tcPr>
          <w:p>
            <w:pPr>
              <w:pStyle w:val="MdTableHeader"/>
            </w:pPr>
            <w:r>
              <w:t xml:space="preserve">T-1 AUM (USD)</w:t>
            </w:r>
          </w:p>
        </w:tc>
        <w:tc>
          <w:tcPr>
            <w:tcMar>
              <w:top w:type="dxa" w:w="100"/>
              <w:left w:type="dxa" w:w="120"/>
              <w:bottom w:type="dxa" w:w="100"/>
              <w:right w:type="dxa" w:w="120"/>
            </w:tcMar>
            <w:vAlign w:val="center"/>
          </w:tcPr>
          <w:p>
            <w:pPr>
              <w:pStyle w:val="MdTableHeader"/>
            </w:pPr>
            <w:r>
              <w:t xml:space="preserve">T-1 SK Hynix Close (KRW)</w:t>
            </w:r>
          </w:p>
        </w:tc>
        <w:tc>
          <w:tcPr>
            <w:tcBorders>
              <w:right w:val="none"/>
            </w:tcBorders>
            <w:tcMar>
              <w:top w:type="dxa" w:w="100"/>
              <w:left w:type="dxa" w:w="120"/>
              <w:bottom w:type="dxa" w:w="100"/>
              <w:right w:type="dxa" w:w="120"/>
            </w:tcMar>
            <w:vAlign w:val="center"/>
          </w:tcPr>
          <w:p>
            <w:pPr>
              <w:pStyle w:val="MdTableHeader"/>
            </w:pPr>
            <w:r>
              <w:t xml:space="preserve">T SK Hynix Close (KRW)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13-May-26</w:t>
            </w:r>
          </w:p>
        </w:tc>
        <w:tc>
          <w:tcPr>
            <w:tcMar>
              <w:top w:type="dxa" w:w="80"/>
              <w:left w:type="dxa" w:w="120"/>
              <w:bottom w:type="dxa" w:w="80"/>
              <w:right w:type="dxa" w:w="120"/>
            </w:tcMar>
            <w:vAlign w:val="center"/>
          </w:tcPr>
          <w:p>
            <w:pPr>
              <w:pStyle w:val="MdTableCell"/>
            </w:pPr>
            <w:r>
              <w:t xml:space="preserve">14-May-26</w:t>
            </w:r>
          </w:p>
        </w:tc>
        <w:tc>
          <w:tcPr>
            <w:tcMar>
              <w:top w:type="dxa" w:w="80"/>
              <w:left w:type="dxa" w:w="120"/>
              <w:bottom w:type="dxa" w:w="80"/>
              <w:right w:type="dxa" w:w="120"/>
            </w:tcMar>
            <w:vAlign w:val="center"/>
          </w:tcPr>
          <w:p>
            <w:pPr>
              <w:pStyle w:val="MdTableCell"/>
            </w:pPr>
            <w:r>
              <w:t xml:space="preserve">7,259,782,232.27</w:t>
            </w:r>
          </w:p>
        </w:tc>
        <w:tc>
          <w:tcPr>
            <w:tcMar>
              <w:top w:type="dxa" w:w="80"/>
              <w:left w:type="dxa" w:w="120"/>
              <w:bottom w:type="dxa" w:w="80"/>
              <w:right w:type="dxa" w:w="120"/>
            </w:tcMar>
            <w:vAlign w:val="center"/>
          </w:tcPr>
          <w:p>
            <w:pPr>
              <w:pStyle w:val="MdTableCell"/>
            </w:pPr>
            <w:r>
              <w:t xml:space="preserve">1,976,000</w:t>
            </w:r>
          </w:p>
        </w:tc>
        <w:tc>
          <w:tcPr>
            <w:tcBorders>
              <w:right w:val="none"/>
            </w:tcBorders>
            <w:tcMar>
              <w:top w:type="dxa" w:w="80"/>
              <w:left w:type="dxa" w:w="120"/>
              <w:bottom w:type="dxa" w:w="80"/>
              <w:right w:type="dxa" w:w="120"/>
            </w:tcMar>
            <w:vAlign w:val="center"/>
          </w:tcPr>
          <w:p>
            <w:pPr>
              <w:pStyle w:val="MdTableCell"/>
            </w:pPr>
            <w:r>
              <w:t xml:space="preserve">1,970,000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15-May-26</w:t>
            </w:r>
          </w:p>
        </w:tc>
        <w:tc>
          <w:tcPr>
            <w:tcMar>
              <w:top w:type="dxa" w:w="80"/>
              <w:left w:type="dxa" w:w="120"/>
              <w:bottom w:type="dxa" w:w="80"/>
              <w:right w:type="dxa" w:w="120"/>
            </w:tcMar>
            <w:vAlign w:val="center"/>
          </w:tcPr>
          <w:p>
            <w:pPr>
              <w:pStyle w:val="MdTableCell"/>
            </w:pPr>
            <w:r>
              <w:t xml:space="preserve">18-May-26</w:t>
            </w:r>
          </w:p>
        </w:tc>
        <w:tc>
          <w:tcPr>
            <w:tcMar>
              <w:top w:type="dxa" w:w="80"/>
              <w:left w:type="dxa" w:w="120"/>
              <w:bottom w:type="dxa" w:w="80"/>
              <w:right w:type="dxa" w:w="120"/>
            </w:tcMar>
            <w:vAlign w:val="center"/>
          </w:tcPr>
          <w:p>
            <w:pPr>
              <w:pStyle w:val="MdTableCell"/>
            </w:pPr>
            <w:r>
              <w:t xml:space="preserve">6,232,525,790.46</w:t>
            </w:r>
          </w:p>
        </w:tc>
        <w:tc>
          <w:tcPr>
            <w:tcMar>
              <w:top w:type="dxa" w:w="80"/>
              <w:left w:type="dxa" w:w="120"/>
              <w:bottom w:type="dxa" w:w="80"/>
              <w:right w:type="dxa" w:w="120"/>
            </w:tcMar>
            <w:vAlign w:val="center"/>
          </w:tcPr>
          <w:p>
            <w:pPr>
              <w:pStyle w:val="MdTableCell"/>
            </w:pPr>
            <w:r>
              <w:t xml:space="preserve">1,819,000</w:t>
            </w:r>
          </w:p>
        </w:tc>
        <w:tc>
          <w:tcPr>
            <w:tcBorders>
              <w:right w:val="none"/>
            </w:tcBorders>
            <w:tcMar>
              <w:top w:type="dxa" w:w="80"/>
              <w:left w:type="dxa" w:w="120"/>
              <w:bottom w:type="dxa" w:w="80"/>
              <w:right w:type="dxa" w:w="120"/>
            </w:tcMar>
            <w:vAlign w:val="center"/>
          </w:tcPr>
          <w:p>
            <w:pPr>
              <w:pStyle w:val="MdTableCell"/>
            </w:pPr>
            <w:r>
              <w:t xml:space="preserve">1,840,000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21-May-26</w:t>
            </w:r>
          </w:p>
        </w:tc>
        <w:tc>
          <w:tcPr>
            <w:tcMar>
              <w:top w:type="dxa" w:w="80"/>
              <w:left w:type="dxa" w:w="120"/>
              <w:bottom w:type="dxa" w:w="80"/>
              <w:right w:type="dxa" w:w="120"/>
            </w:tcMar>
            <w:vAlign w:val="center"/>
          </w:tcPr>
          <w:p>
            <w:pPr>
              <w:pStyle w:val="MdTableCell"/>
            </w:pPr>
            <w:r>
              <w:t xml:space="preserve">22-May-26</w:t>
            </w:r>
          </w:p>
        </w:tc>
        <w:tc>
          <w:tcPr>
            <w:tcMar>
              <w:top w:type="dxa" w:w="80"/>
              <w:left w:type="dxa" w:w="120"/>
              <w:bottom w:type="dxa" w:w="80"/>
              <w:right w:type="dxa" w:w="120"/>
            </w:tcMar>
            <w:vAlign w:val="center"/>
          </w:tcPr>
          <w:p>
            <w:pPr>
              <w:pStyle w:val="MdTableCell"/>
            </w:pPr>
            <w:r>
              <w:t xml:space="preserve">7,829,100,576.74</w:t>
            </w:r>
          </w:p>
        </w:tc>
        <w:tc>
          <w:tcPr>
            <w:tcMar>
              <w:top w:type="dxa" w:w="80"/>
              <w:left w:type="dxa" w:w="120"/>
              <w:bottom w:type="dxa" w:w="80"/>
              <w:right w:type="dxa" w:w="120"/>
            </w:tcMar>
            <w:vAlign w:val="center"/>
          </w:tcPr>
          <w:p>
            <w:pPr>
              <w:pStyle w:val="MdTableCell"/>
            </w:pPr>
            <w:r>
              <w:t xml:space="preserve">1,940,000</w:t>
            </w:r>
          </w:p>
        </w:tc>
        <w:tc>
          <w:tcPr>
            <w:tcBorders>
              <w:right w:val="none"/>
            </w:tcBorders>
            <w:tcMar>
              <w:top w:type="dxa" w:w="80"/>
              <w:left w:type="dxa" w:w="120"/>
              <w:bottom w:type="dxa" w:w="80"/>
              <w:right w:type="dxa" w:w="120"/>
            </w:tcMar>
            <w:vAlign w:val="center"/>
          </w:tcPr>
          <w:p>
            <w:pPr>
              <w:pStyle w:val="MdTableCell"/>
            </w:pPr>
            <w:r>
              <w:t xml:space="preserve">1,941,000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01-Jun-26</w:t>
            </w:r>
          </w:p>
        </w:tc>
        <w:tc>
          <w:tcPr>
            <w:tcMar>
              <w:top w:type="dxa" w:w="80"/>
              <w:left w:type="dxa" w:w="120"/>
              <w:bottom w:type="dxa" w:w="80"/>
              <w:right w:type="dxa" w:w="120"/>
            </w:tcMar>
            <w:vAlign w:val="center"/>
          </w:tcPr>
          <w:p>
            <w:pPr>
              <w:pStyle w:val="MdTableCell"/>
            </w:pPr>
            <w:r>
              <w:t xml:space="preserve">02-Jun-26</w:t>
            </w:r>
          </w:p>
        </w:tc>
        <w:tc>
          <w:tcPr>
            <w:tcMar>
              <w:top w:type="dxa" w:w="80"/>
              <w:left w:type="dxa" w:w="120"/>
              <w:bottom w:type="dxa" w:w="80"/>
              <w:right w:type="dxa" w:w="120"/>
            </w:tcMar>
            <w:vAlign w:val="center"/>
          </w:tcPr>
          <w:p>
            <w:pPr>
              <w:pStyle w:val="MdTableCell"/>
            </w:pPr>
            <w:r>
              <w:t xml:space="preserve">10,300,817,797.90</w:t>
            </w:r>
          </w:p>
        </w:tc>
        <w:tc>
          <w:tcPr>
            <w:tcMar>
              <w:top w:type="dxa" w:w="80"/>
              <w:left w:type="dxa" w:w="120"/>
              <w:bottom w:type="dxa" w:w="80"/>
              <w:right w:type="dxa" w:w="120"/>
            </w:tcMar>
            <w:vAlign w:val="center"/>
          </w:tcPr>
          <w:p>
            <w:pPr>
              <w:pStyle w:val="MdTableCell"/>
            </w:pPr>
            <w:r>
              <w:t xml:space="preserve">2,363,000</w:t>
            </w:r>
          </w:p>
        </w:tc>
        <w:tc>
          <w:tcPr>
            <w:tcBorders>
              <w:right w:val="none"/>
            </w:tcBorders>
            <w:tcMar>
              <w:top w:type="dxa" w:w="80"/>
              <w:left w:type="dxa" w:w="120"/>
              <w:bottom w:type="dxa" w:w="80"/>
              <w:right w:type="dxa" w:w="120"/>
            </w:tcMar>
            <w:vAlign w:val="center"/>
          </w:tcPr>
          <w:p>
            <w:pPr>
              <w:pStyle w:val="MdTableCell"/>
            </w:pPr>
            <w:r>
              <w:t xml:space="preserve">2,360,000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23-Jun-26</w:t>
            </w:r>
          </w:p>
        </w:tc>
        <w:tc>
          <w:tcPr>
            <w:tcMar>
              <w:top w:type="dxa" w:w="80"/>
              <w:left w:type="dxa" w:w="120"/>
              <w:bottom w:type="dxa" w:w="80"/>
              <w:right w:type="dxa" w:w="120"/>
            </w:tcMar>
            <w:vAlign w:val="center"/>
          </w:tcPr>
          <w:p>
            <w:pPr>
              <w:pStyle w:val="MdTableCell"/>
            </w:pPr>
            <w:r>
              <w:t xml:space="preserve">24-Jun-26</w:t>
            </w:r>
          </w:p>
        </w:tc>
        <w:tc>
          <w:tcPr>
            <w:tcMar>
              <w:top w:type="dxa" w:w="80"/>
              <w:left w:type="dxa" w:w="120"/>
              <w:bottom w:type="dxa" w:w="80"/>
              <w:right w:type="dxa" w:w="120"/>
            </w:tcMar>
            <w:vAlign w:val="center"/>
          </w:tcPr>
          <w:p>
            <w:pPr>
              <w:pStyle w:val="MdTableCell"/>
            </w:pPr>
            <w:r>
              <w:t xml:space="preserve">12,234,693,326.07</w:t>
            </w:r>
          </w:p>
        </w:tc>
        <w:tc>
          <w:tcPr>
            <w:tcMar>
              <w:top w:type="dxa" w:w="80"/>
              <w:left w:type="dxa" w:w="120"/>
              <w:bottom w:type="dxa" w:w="80"/>
              <w:right w:type="dxa" w:w="120"/>
            </w:tcMar>
            <w:vAlign w:val="center"/>
          </w:tcPr>
          <w:p>
            <w:pPr>
              <w:pStyle w:val="MdTableCell"/>
            </w:pPr>
            <w:r>
              <w:t xml:space="preserve">2,555,000</w:t>
            </w:r>
          </w:p>
        </w:tc>
        <w:tc>
          <w:tcPr>
            <w:tcBorders>
              <w:right w:val="none"/>
            </w:tcBorders>
            <w:tcMar>
              <w:top w:type="dxa" w:w="80"/>
              <w:left w:type="dxa" w:w="120"/>
              <w:bottom w:type="dxa" w:w="80"/>
              <w:right w:type="dxa" w:w="120"/>
            </w:tcMar>
            <w:vAlign w:val="center"/>
          </w:tcPr>
          <w:p>
            <w:pPr>
              <w:pStyle w:val="MdTableCell"/>
            </w:pPr>
            <w:r>
              <w:t xml:space="preserve">2,580,000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29-Jun-26</w:t>
            </w:r>
          </w:p>
        </w:tc>
        <w:tc>
          <w:tcPr>
            <w:tcBorders>
              <w:bottom w:val="single" w:color="E1E4E8" w:sz="4"/>
            </w:tcBorders>
            <w:tcMar>
              <w:top w:type="dxa" w:w="80"/>
              <w:left w:type="dxa" w:w="120"/>
              <w:bottom w:type="dxa" w:w="80"/>
              <w:right w:type="dxa" w:w="120"/>
            </w:tcMar>
            <w:vAlign w:val="center"/>
          </w:tcPr>
          <w:p>
            <w:pPr>
              <w:pStyle w:val="MdTableCell"/>
            </w:pPr>
            <w:r>
              <w:t xml:space="preserve">30-Jun-26</w:t>
            </w:r>
          </w:p>
        </w:tc>
        <w:tc>
          <w:tcPr>
            <w:tcBorders>
              <w:bottom w:val="single" w:color="E1E4E8" w:sz="4"/>
            </w:tcBorders>
            <w:tcMar>
              <w:top w:type="dxa" w:w="80"/>
              <w:left w:type="dxa" w:w="120"/>
              <w:bottom w:type="dxa" w:w="80"/>
              <w:right w:type="dxa" w:w="120"/>
            </w:tcMar>
            <w:vAlign w:val="center"/>
          </w:tcPr>
          <w:p>
            <w:pPr>
              <w:pStyle w:val="MdTableCell"/>
            </w:pPr>
            <w:r>
              <w:t xml:space="preserve">12,682,048,208.39</w:t>
            </w:r>
          </w:p>
        </w:tc>
        <w:tc>
          <w:tcPr>
            <w:tcBorders>
              <w:bottom w:val="single" w:color="E1E4E8" w:sz="4"/>
            </w:tcBorders>
            <w:tcMar>
              <w:top w:type="dxa" w:w="80"/>
              <w:left w:type="dxa" w:w="120"/>
              <w:bottom w:type="dxa" w:w="80"/>
              <w:right w:type="dxa" w:w="120"/>
            </w:tcMar>
            <w:vAlign w:val="center"/>
          </w:tcPr>
          <w:p>
            <w:pPr>
              <w:pStyle w:val="MdTableCell"/>
            </w:pPr>
            <w:r>
              <w:t xml:space="preserve">2,628,000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2,650,000</w:t>
            </w:r>
          </w:p>
        </w:tc>
      </w:tr>
    </w:tbl>
    <w:p>
      <w:pPr>
        <w:pStyle w:val="Heading3"/>
        <w:pStyle w:val="MdHeading3"/>
      </w:pPr>
      <w:r>
        <w:t xml:space="preserve">Last-60-min Candlestick Data (KRX 14:30–15:30 KST)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 Date</w:t>
            </w:r>
          </w:p>
        </w:tc>
        <w:tc>
          <w:tcPr>
            <w:tcMar>
              <w:top w:type="dxa" w:w="100"/>
              <w:left w:type="dxa" w:w="120"/>
              <w:bottom w:type="dxa" w:w="100"/>
              <w:right w:type="dxa" w:w="120"/>
            </w:tcMar>
            <w:vAlign w:val="center"/>
          </w:tcPr>
          <w:p>
            <w:pPr>
              <w:pStyle w:val="MdTableHeader"/>
            </w:pPr>
            <w:r>
              <w:t xml:space="preserve">Open (KRW)</w:t>
            </w:r>
          </w:p>
        </w:tc>
        <w:tc>
          <w:tcPr>
            <w:tcMar>
              <w:top w:type="dxa" w:w="100"/>
              <w:left w:type="dxa" w:w="120"/>
              <w:bottom w:type="dxa" w:w="100"/>
              <w:right w:type="dxa" w:w="120"/>
            </w:tcMar>
            <w:vAlign w:val="center"/>
          </w:tcPr>
          <w:p>
            <w:pPr>
              <w:pStyle w:val="MdTableHeader"/>
            </w:pPr>
            <w:r>
              <w:t xml:space="preserve">Close (KRW)</w:t>
            </w:r>
          </w:p>
        </w:tc>
        <w:tc>
          <w:tcPr>
            <w:tcMar>
              <w:top w:type="dxa" w:w="100"/>
              <w:left w:type="dxa" w:w="120"/>
              <w:bottom w:type="dxa" w:w="100"/>
              <w:right w:type="dxa" w:w="120"/>
            </w:tcMar>
            <w:vAlign w:val="center"/>
          </w:tcPr>
          <w:p>
            <w:pPr>
              <w:pStyle w:val="MdTableHeader"/>
            </w:pPr>
            <w:r>
              <w:t xml:space="preserve">Avg Price (KRW)</w:t>
            </w:r>
          </w:p>
        </w:tc>
        <w:tc>
          <w:tcPr>
            <w:tcBorders>
              <w:right w:val="none"/>
            </w:tcBorders>
            <w:tcMar>
              <w:top w:type="dxa" w:w="100"/>
              <w:left w:type="dxa" w:w="120"/>
              <w:bottom w:type="dxa" w:w="100"/>
              <w:right w:type="dxa" w:w="120"/>
            </w:tcMar>
            <w:vAlign w:val="center"/>
          </w:tcPr>
          <w:p>
            <w:pPr>
              <w:pStyle w:val="MdTableHeader"/>
            </w:pPr>
            <w:r>
              <w:t xml:space="preserve">Volume (shares)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06-May-26</w:t>
            </w:r>
          </w:p>
        </w:tc>
        <w:tc>
          <w:tcPr>
            <w:tcMar>
              <w:top w:type="dxa" w:w="80"/>
              <w:left w:type="dxa" w:w="120"/>
              <w:bottom w:type="dxa" w:w="80"/>
              <w:right w:type="dxa" w:w="120"/>
            </w:tcMar>
            <w:vAlign w:val="center"/>
          </w:tcPr>
          <w:p>
            <w:pPr>
              <w:pStyle w:val="MdTableCell"/>
            </w:pPr>
            <w:r>
              <w:t xml:space="preserve">1,606,744</w:t>
            </w:r>
          </w:p>
        </w:tc>
        <w:tc>
          <w:tcPr>
            <w:tcMar>
              <w:top w:type="dxa" w:w="80"/>
              <w:left w:type="dxa" w:w="120"/>
              <w:bottom w:type="dxa" w:w="80"/>
              <w:right w:type="dxa" w:w="120"/>
            </w:tcMar>
            <w:vAlign w:val="center"/>
          </w:tcPr>
          <w:p>
            <w:pPr>
              <w:pStyle w:val="MdTableCell"/>
            </w:pPr>
            <w:r>
              <w:t xml:space="preserve">1,600,745</w:t>
            </w:r>
          </w:p>
        </w:tc>
        <w:tc>
          <w:tcPr>
            <w:tcMar>
              <w:top w:type="dxa" w:w="80"/>
              <w:left w:type="dxa" w:w="120"/>
              <w:bottom w:type="dxa" w:w="80"/>
              <w:right w:type="dxa" w:w="120"/>
            </w:tcMar>
            <w:vAlign w:val="center"/>
          </w:tcPr>
          <w:p>
            <w:pPr>
              <w:pStyle w:val="MdTableCell"/>
            </w:pPr>
            <w:r>
              <w:t xml:space="preserve">1,600,052</w:t>
            </w:r>
          </w:p>
        </w:tc>
        <w:tc>
          <w:tcPr>
            <w:tcBorders>
              <w:right w:val="none"/>
            </w:tcBorders>
            <w:tcMar>
              <w:top w:type="dxa" w:w="80"/>
              <w:left w:type="dxa" w:w="120"/>
              <w:bottom w:type="dxa" w:w="80"/>
              <w:right w:type="dxa" w:w="120"/>
            </w:tcMar>
            <w:vAlign w:val="center"/>
          </w:tcPr>
          <w:p>
            <w:pPr>
              <w:pStyle w:val="MdTableCell"/>
            </w:pPr>
            <w:r>
              <w:t xml:space="preserve">1,030,000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21-May-26</w:t>
            </w:r>
          </w:p>
        </w:tc>
        <w:tc>
          <w:tcPr>
            <w:tcMar>
              <w:top w:type="dxa" w:w="80"/>
              <w:left w:type="dxa" w:w="120"/>
              <w:bottom w:type="dxa" w:w="80"/>
              <w:right w:type="dxa" w:w="120"/>
            </w:tcMar>
            <w:vAlign w:val="center"/>
          </w:tcPr>
          <w:p>
            <w:pPr>
              <w:pStyle w:val="MdTableCell"/>
            </w:pPr>
            <w:r>
              <w:t xml:space="preserve">1,947,690</w:t>
            </w:r>
          </w:p>
        </w:tc>
        <w:tc>
          <w:tcPr>
            <w:tcMar>
              <w:top w:type="dxa" w:w="80"/>
              <w:left w:type="dxa" w:w="120"/>
              <w:bottom w:type="dxa" w:w="80"/>
              <w:right w:type="dxa" w:w="120"/>
            </w:tcMar>
            <w:vAlign w:val="center"/>
          </w:tcPr>
          <w:p>
            <w:pPr>
              <w:pStyle w:val="MdTableCell"/>
            </w:pPr>
            <w:r>
              <w:t xml:space="preserve">1,939,691</w:t>
            </w:r>
          </w:p>
        </w:tc>
        <w:tc>
          <w:tcPr>
            <w:tcMar>
              <w:top w:type="dxa" w:w="80"/>
              <w:left w:type="dxa" w:w="120"/>
              <w:bottom w:type="dxa" w:w="80"/>
              <w:right w:type="dxa" w:w="120"/>
            </w:tcMar>
            <w:vAlign w:val="center"/>
          </w:tcPr>
          <w:p>
            <w:pPr>
              <w:pStyle w:val="MdTableCell"/>
            </w:pPr>
            <w:r>
              <w:t xml:space="preserve">1,943,104</w:t>
            </w:r>
          </w:p>
        </w:tc>
        <w:tc>
          <w:tcPr>
            <w:tcBorders>
              <w:right w:val="none"/>
            </w:tcBorders>
            <w:tcMar>
              <w:top w:type="dxa" w:w="80"/>
              <w:left w:type="dxa" w:w="120"/>
              <w:bottom w:type="dxa" w:w="80"/>
              <w:right w:type="dxa" w:w="120"/>
            </w:tcMar>
            <w:vAlign w:val="center"/>
          </w:tcPr>
          <w:p>
            <w:pPr>
              <w:pStyle w:val="MdTableCell"/>
            </w:pPr>
            <w:r>
              <w:t xml:space="preserve">632,800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08-Jun-26</w:t>
            </w:r>
          </w:p>
        </w:tc>
        <w:tc>
          <w:tcPr>
            <w:tcMar>
              <w:top w:type="dxa" w:w="80"/>
              <w:left w:type="dxa" w:w="120"/>
              <w:bottom w:type="dxa" w:w="80"/>
              <w:right w:type="dxa" w:w="120"/>
            </w:tcMar>
            <w:vAlign w:val="center"/>
          </w:tcPr>
          <w:p>
            <w:pPr>
              <w:pStyle w:val="MdTableCell"/>
            </w:pPr>
            <w:r>
              <w:t xml:space="preserve">1,944,000</w:t>
            </w:r>
          </w:p>
        </w:tc>
        <w:tc>
          <w:tcPr>
            <w:tcMar>
              <w:top w:type="dxa" w:w="80"/>
              <w:left w:type="dxa" w:w="120"/>
              <w:bottom w:type="dxa" w:w="80"/>
              <w:right w:type="dxa" w:w="120"/>
            </w:tcMar>
            <w:vAlign w:val="center"/>
          </w:tcPr>
          <w:p>
            <w:pPr>
              <w:pStyle w:val="MdTableCell"/>
            </w:pPr>
            <w:r>
              <w:t xml:space="preserve">1,911,000</w:t>
            </w:r>
          </w:p>
        </w:tc>
        <w:tc>
          <w:tcPr>
            <w:tcMar>
              <w:top w:type="dxa" w:w="80"/>
              <w:left w:type="dxa" w:w="120"/>
              <w:bottom w:type="dxa" w:w="80"/>
              <w:right w:type="dxa" w:w="120"/>
            </w:tcMar>
            <w:vAlign w:val="center"/>
          </w:tcPr>
          <w:p>
            <w:pPr>
              <w:pStyle w:val="MdTableCell"/>
            </w:pPr>
            <w:r>
              <w:t xml:space="preserve">1,917,667</w:t>
            </w:r>
          </w:p>
        </w:tc>
        <w:tc>
          <w:tcPr>
            <w:tcBorders>
              <w:right w:val="none"/>
            </w:tcBorders>
            <w:tcMar>
              <w:top w:type="dxa" w:w="80"/>
              <w:left w:type="dxa" w:w="120"/>
              <w:bottom w:type="dxa" w:w="80"/>
              <w:right w:type="dxa" w:w="120"/>
            </w:tcMar>
            <w:vAlign w:val="center"/>
          </w:tcPr>
          <w:p>
            <w:pPr>
              <w:pStyle w:val="MdTableCell"/>
            </w:pPr>
            <w:r>
              <w:t xml:space="preserve">988,600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09-Jun-26</w:t>
            </w:r>
          </w:p>
        </w:tc>
        <w:tc>
          <w:tcPr>
            <w:tcMar>
              <w:top w:type="dxa" w:w="80"/>
              <w:left w:type="dxa" w:w="120"/>
              <w:bottom w:type="dxa" w:w="80"/>
              <w:right w:type="dxa" w:w="120"/>
            </w:tcMar>
            <w:vAlign w:val="center"/>
          </w:tcPr>
          <w:p>
            <w:pPr>
              <w:pStyle w:val="MdTableCell"/>
            </w:pPr>
            <w:r>
              <w:t xml:space="preserve">2,205,000</w:t>
            </w:r>
          </w:p>
        </w:tc>
        <w:tc>
          <w:tcPr>
            <w:tcMar>
              <w:top w:type="dxa" w:w="80"/>
              <w:left w:type="dxa" w:w="120"/>
              <w:bottom w:type="dxa" w:w="80"/>
              <w:right w:type="dxa" w:w="120"/>
            </w:tcMar>
            <w:vAlign w:val="center"/>
          </w:tcPr>
          <w:p>
            <w:pPr>
              <w:pStyle w:val="MdTableCell"/>
            </w:pPr>
            <w:r>
              <w:t xml:space="preserve">2,215,000</w:t>
            </w:r>
          </w:p>
        </w:tc>
        <w:tc>
          <w:tcPr>
            <w:tcMar>
              <w:top w:type="dxa" w:w="80"/>
              <w:left w:type="dxa" w:w="120"/>
              <w:bottom w:type="dxa" w:w="80"/>
              <w:right w:type="dxa" w:w="120"/>
            </w:tcMar>
            <w:vAlign w:val="center"/>
          </w:tcPr>
          <w:p>
            <w:pPr>
              <w:pStyle w:val="MdTableCell"/>
            </w:pPr>
            <w:r>
              <w:t xml:space="preserve">2,211,816</w:t>
            </w:r>
          </w:p>
        </w:tc>
        <w:tc>
          <w:tcPr>
            <w:tcBorders>
              <w:right w:val="none"/>
            </w:tcBorders>
            <w:tcMar>
              <w:top w:type="dxa" w:w="80"/>
              <w:left w:type="dxa" w:w="120"/>
              <w:bottom w:type="dxa" w:w="80"/>
              <w:right w:type="dxa" w:w="120"/>
            </w:tcMar>
            <w:vAlign w:val="center"/>
          </w:tcPr>
          <w:p>
            <w:pPr>
              <w:pStyle w:val="MdTableCell"/>
            </w:pPr>
            <w:r>
              <w:t xml:space="preserve">923,200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23-Jun-26</w:t>
            </w:r>
          </w:p>
        </w:tc>
        <w:tc>
          <w:tcPr>
            <w:tcMar>
              <w:top w:type="dxa" w:w="80"/>
              <w:left w:type="dxa" w:w="120"/>
              <w:bottom w:type="dxa" w:w="80"/>
              <w:right w:type="dxa" w:w="120"/>
            </w:tcMar>
            <w:vAlign w:val="center"/>
          </w:tcPr>
          <w:p>
            <w:pPr>
              <w:pStyle w:val="MdTableCell"/>
            </w:pPr>
            <w:r>
              <w:t xml:space="preserve">2,582,000</w:t>
            </w:r>
          </w:p>
        </w:tc>
        <w:tc>
          <w:tcPr>
            <w:tcMar>
              <w:top w:type="dxa" w:w="80"/>
              <w:left w:type="dxa" w:w="120"/>
              <w:bottom w:type="dxa" w:w="80"/>
              <w:right w:type="dxa" w:w="120"/>
            </w:tcMar>
            <w:vAlign w:val="center"/>
          </w:tcPr>
          <w:p>
            <w:pPr>
              <w:pStyle w:val="MdTableCell"/>
            </w:pPr>
            <w:r>
              <w:t xml:space="preserve">2,555,000</w:t>
            </w:r>
          </w:p>
        </w:tc>
        <w:tc>
          <w:tcPr>
            <w:tcMar>
              <w:top w:type="dxa" w:w="80"/>
              <w:left w:type="dxa" w:w="120"/>
              <w:bottom w:type="dxa" w:w="80"/>
              <w:right w:type="dxa" w:w="120"/>
            </w:tcMar>
            <w:vAlign w:val="center"/>
          </w:tcPr>
          <w:p>
            <w:pPr>
              <w:pStyle w:val="MdTableCell"/>
            </w:pPr>
            <w:r>
              <w:t xml:space="preserve">2,565,653</w:t>
            </w:r>
          </w:p>
        </w:tc>
        <w:tc>
          <w:tcPr>
            <w:tcBorders>
              <w:right w:val="none"/>
            </w:tcBorders>
            <w:tcMar>
              <w:top w:type="dxa" w:w="80"/>
              <w:left w:type="dxa" w:w="120"/>
              <w:bottom w:type="dxa" w:w="80"/>
              <w:right w:type="dxa" w:w="120"/>
            </w:tcMar>
            <w:vAlign w:val="center"/>
          </w:tcPr>
          <w:p>
            <w:pPr>
              <w:pStyle w:val="MdTableCell"/>
            </w:pPr>
            <w:r>
              <w:t xml:space="preserve">1,530,000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26-Jun-26</w:t>
            </w:r>
          </w:p>
        </w:tc>
        <w:tc>
          <w:tcPr>
            <w:tcMar>
              <w:top w:type="dxa" w:w="80"/>
              <w:left w:type="dxa" w:w="120"/>
              <w:bottom w:type="dxa" w:w="80"/>
              <w:right w:type="dxa" w:w="120"/>
            </w:tcMar>
            <w:vAlign w:val="center"/>
          </w:tcPr>
          <w:p>
            <w:pPr>
              <w:pStyle w:val="MdTableCell"/>
            </w:pPr>
            <w:r>
              <w:t xml:space="preserve">2,642,000</w:t>
            </w:r>
          </w:p>
        </w:tc>
        <w:tc>
          <w:tcPr>
            <w:tcMar>
              <w:top w:type="dxa" w:w="80"/>
              <w:left w:type="dxa" w:w="120"/>
              <w:bottom w:type="dxa" w:w="80"/>
              <w:right w:type="dxa" w:w="120"/>
            </w:tcMar>
            <w:vAlign w:val="center"/>
          </w:tcPr>
          <w:p>
            <w:pPr>
              <w:pStyle w:val="MdTableCell"/>
            </w:pPr>
            <w:r>
              <w:t xml:space="preserve">2,673,000</w:t>
            </w:r>
          </w:p>
        </w:tc>
        <w:tc>
          <w:tcPr>
            <w:tcMar>
              <w:top w:type="dxa" w:w="80"/>
              <w:left w:type="dxa" w:w="120"/>
              <w:bottom w:type="dxa" w:w="80"/>
              <w:right w:type="dxa" w:w="120"/>
            </w:tcMar>
            <w:vAlign w:val="center"/>
          </w:tcPr>
          <w:p>
            <w:pPr>
              <w:pStyle w:val="MdTableCell"/>
            </w:pPr>
            <w:r>
              <w:t xml:space="preserve">2,660,094</w:t>
            </w:r>
          </w:p>
        </w:tc>
        <w:tc>
          <w:tcPr>
            <w:tcBorders>
              <w:right w:val="none"/>
            </w:tcBorders>
            <w:tcMar>
              <w:top w:type="dxa" w:w="80"/>
              <w:left w:type="dxa" w:w="120"/>
              <w:bottom w:type="dxa" w:w="80"/>
              <w:right w:type="dxa" w:w="120"/>
            </w:tcMar>
            <w:vAlign w:val="center"/>
          </w:tcPr>
          <w:p>
            <w:pPr>
              <w:pStyle w:val="MdTableCell"/>
            </w:pPr>
            <w:r>
              <w:t xml:space="preserve">1,050,000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14-May-26</w:t>
            </w:r>
          </w:p>
        </w:tc>
        <w:tc>
          <w:tcPr>
            <w:tcMar>
              <w:top w:type="dxa" w:w="80"/>
              <w:left w:type="dxa" w:w="120"/>
              <w:bottom w:type="dxa" w:w="80"/>
              <w:right w:type="dxa" w:w="120"/>
            </w:tcMar>
            <w:vAlign w:val="center"/>
          </w:tcPr>
          <w:p>
            <w:pPr>
              <w:pStyle w:val="MdTableCell"/>
            </w:pPr>
            <w:r>
              <w:t xml:space="preserve">1,794,714</w:t>
            </w:r>
          </w:p>
        </w:tc>
        <w:tc>
          <w:tcPr>
            <w:tcMar>
              <w:top w:type="dxa" w:w="80"/>
              <w:left w:type="dxa" w:w="120"/>
              <w:bottom w:type="dxa" w:w="80"/>
              <w:right w:type="dxa" w:w="120"/>
            </w:tcMar>
            <w:vAlign w:val="center"/>
          </w:tcPr>
          <w:p>
            <w:pPr>
              <w:pStyle w:val="MdTableCell"/>
            </w:pPr>
            <w:r>
              <w:t xml:space="preserve">1,818,710</w:t>
            </w:r>
          </w:p>
        </w:tc>
        <w:tc>
          <w:tcPr>
            <w:tcMar>
              <w:top w:type="dxa" w:w="80"/>
              <w:left w:type="dxa" w:w="120"/>
              <w:bottom w:type="dxa" w:w="80"/>
              <w:right w:type="dxa" w:w="120"/>
            </w:tcMar>
            <w:vAlign w:val="center"/>
          </w:tcPr>
          <w:p>
            <w:pPr>
              <w:pStyle w:val="MdTableCell"/>
            </w:pPr>
            <w:r>
              <w:t xml:space="preserve">1,815,114</w:t>
            </w:r>
          </w:p>
        </w:tc>
        <w:tc>
          <w:tcPr>
            <w:tcBorders>
              <w:right w:val="none"/>
            </w:tcBorders>
            <w:tcMar>
              <w:top w:type="dxa" w:w="80"/>
              <w:left w:type="dxa" w:w="120"/>
              <w:bottom w:type="dxa" w:w="80"/>
              <w:right w:type="dxa" w:w="120"/>
            </w:tcMar>
            <w:vAlign w:val="center"/>
          </w:tcPr>
          <w:p>
            <w:pPr>
              <w:pStyle w:val="MdTableCell"/>
            </w:pPr>
            <w:r>
              <w:t xml:space="preserve">952,700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18-May-26</w:t>
            </w:r>
          </w:p>
        </w:tc>
        <w:tc>
          <w:tcPr>
            <w:tcMar>
              <w:top w:type="dxa" w:w="80"/>
              <w:left w:type="dxa" w:w="120"/>
              <w:bottom w:type="dxa" w:w="80"/>
              <w:right w:type="dxa" w:w="120"/>
            </w:tcMar>
            <w:vAlign w:val="center"/>
          </w:tcPr>
          <w:p>
            <w:pPr>
              <w:pStyle w:val="MdTableCell"/>
            </w:pPr>
            <w:r>
              <w:t xml:space="preserve">1,836,707</w:t>
            </w:r>
          </w:p>
        </w:tc>
        <w:tc>
          <w:tcPr>
            <w:tcMar>
              <w:top w:type="dxa" w:w="80"/>
              <w:left w:type="dxa" w:w="120"/>
              <w:bottom w:type="dxa" w:w="80"/>
              <w:right w:type="dxa" w:w="120"/>
            </w:tcMar>
            <w:vAlign w:val="center"/>
          </w:tcPr>
          <w:p>
            <w:pPr>
              <w:pStyle w:val="MdTableCell"/>
            </w:pPr>
            <w:r>
              <w:t xml:space="preserve">1,839,707</w:t>
            </w:r>
          </w:p>
        </w:tc>
        <w:tc>
          <w:tcPr>
            <w:tcMar>
              <w:top w:type="dxa" w:w="80"/>
              <w:left w:type="dxa" w:w="120"/>
              <w:bottom w:type="dxa" w:w="80"/>
              <w:right w:type="dxa" w:w="120"/>
            </w:tcMar>
            <w:vAlign w:val="center"/>
          </w:tcPr>
          <w:p>
            <w:pPr>
              <w:pStyle w:val="MdTableCell"/>
            </w:pPr>
            <w:r>
              <w:t xml:space="preserve">1,842,343</w:t>
            </w:r>
          </w:p>
        </w:tc>
        <w:tc>
          <w:tcPr>
            <w:tcBorders>
              <w:right w:val="none"/>
            </w:tcBorders>
            <w:tcMar>
              <w:top w:type="dxa" w:w="80"/>
              <w:left w:type="dxa" w:w="120"/>
              <w:bottom w:type="dxa" w:w="80"/>
              <w:right w:type="dxa" w:w="120"/>
            </w:tcMar>
            <w:vAlign w:val="center"/>
          </w:tcPr>
          <w:p>
            <w:pPr>
              <w:pStyle w:val="MdTableCell"/>
            </w:pPr>
            <w:r>
              <w:t xml:space="preserve">392,400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22-May-26</w:t>
            </w:r>
          </w:p>
        </w:tc>
        <w:tc>
          <w:tcPr>
            <w:tcMar>
              <w:top w:type="dxa" w:w="80"/>
              <w:left w:type="dxa" w:w="120"/>
              <w:bottom w:type="dxa" w:w="80"/>
              <w:right w:type="dxa" w:w="120"/>
            </w:tcMar>
            <w:vAlign w:val="center"/>
          </w:tcPr>
          <w:p>
            <w:pPr>
              <w:pStyle w:val="MdTableCell"/>
            </w:pPr>
            <w:r>
              <w:t xml:space="preserve">1,939,691</w:t>
            </w:r>
          </w:p>
        </w:tc>
        <w:tc>
          <w:tcPr>
            <w:tcMar>
              <w:top w:type="dxa" w:w="80"/>
              <w:left w:type="dxa" w:w="120"/>
              <w:bottom w:type="dxa" w:w="80"/>
              <w:right w:type="dxa" w:w="120"/>
            </w:tcMar>
            <w:vAlign w:val="center"/>
          </w:tcPr>
          <w:p>
            <w:pPr>
              <w:pStyle w:val="MdTableCell"/>
            </w:pPr>
            <w:r>
              <w:t xml:space="preserve">1,940,691</w:t>
            </w:r>
          </w:p>
        </w:tc>
        <w:tc>
          <w:tcPr>
            <w:tcMar>
              <w:top w:type="dxa" w:w="80"/>
              <w:left w:type="dxa" w:w="120"/>
              <w:bottom w:type="dxa" w:w="80"/>
              <w:right w:type="dxa" w:w="120"/>
            </w:tcMar>
            <w:vAlign w:val="center"/>
          </w:tcPr>
          <w:p>
            <w:pPr>
              <w:pStyle w:val="MdTableCell"/>
            </w:pPr>
            <w:r>
              <w:t xml:space="preserve">1,939,801</w:t>
            </w:r>
          </w:p>
        </w:tc>
        <w:tc>
          <w:tcPr>
            <w:tcBorders>
              <w:right w:val="none"/>
            </w:tcBorders>
            <w:tcMar>
              <w:top w:type="dxa" w:w="80"/>
              <w:left w:type="dxa" w:w="120"/>
              <w:bottom w:type="dxa" w:w="80"/>
              <w:right w:type="dxa" w:w="120"/>
            </w:tcMar>
            <w:vAlign w:val="center"/>
          </w:tcPr>
          <w:p>
            <w:pPr>
              <w:pStyle w:val="MdTableCell"/>
            </w:pPr>
            <w:r>
              <w:t xml:space="preserve">395,400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02-Jun-26</w:t>
            </w:r>
          </w:p>
        </w:tc>
        <w:tc>
          <w:tcPr>
            <w:tcMar>
              <w:top w:type="dxa" w:w="80"/>
              <w:left w:type="dxa" w:w="120"/>
              <w:bottom w:type="dxa" w:w="80"/>
              <w:right w:type="dxa" w:w="120"/>
            </w:tcMar>
            <w:vAlign w:val="center"/>
          </w:tcPr>
          <w:p>
            <w:pPr>
              <w:pStyle w:val="MdTableCell"/>
            </w:pPr>
            <w:r>
              <w:t xml:space="preserve">2,341,000</w:t>
            </w:r>
          </w:p>
        </w:tc>
        <w:tc>
          <w:tcPr>
            <w:tcMar>
              <w:top w:type="dxa" w:w="80"/>
              <w:left w:type="dxa" w:w="120"/>
              <w:bottom w:type="dxa" w:w="80"/>
              <w:right w:type="dxa" w:w="120"/>
            </w:tcMar>
            <w:vAlign w:val="center"/>
          </w:tcPr>
          <w:p>
            <w:pPr>
              <w:pStyle w:val="MdTableCell"/>
            </w:pPr>
            <w:r>
              <w:t xml:space="preserve">2,360,000</w:t>
            </w:r>
          </w:p>
        </w:tc>
        <w:tc>
          <w:tcPr>
            <w:tcMar>
              <w:top w:type="dxa" w:w="80"/>
              <w:left w:type="dxa" w:w="120"/>
              <w:bottom w:type="dxa" w:w="80"/>
              <w:right w:type="dxa" w:w="120"/>
            </w:tcMar>
            <w:vAlign w:val="center"/>
          </w:tcPr>
          <w:p>
            <w:pPr>
              <w:pStyle w:val="MdTableCell"/>
            </w:pPr>
            <w:r>
              <w:t xml:space="preserve">2,353,525</w:t>
            </w:r>
          </w:p>
        </w:tc>
        <w:tc>
          <w:tcPr>
            <w:tcBorders>
              <w:right w:val="none"/>
            </w:tcBorders>
            <w:tcMar>
              <w:top w:type="dxa" w:w="80"/>
              <w:left w:type="dxa" w:w="120"/>
              <w:bottom w:type="dxa" w:w="80"/>
              <w:right w:type="dxa" w:w="120"/>
            </w:tcMar>
            <w:vAlign w:val="center"/>
          </w:tcPr>
          <w:p>
            <w:pPr>
              <w:pStyle w:val="MdTableCell"/>
            </w:pPr>
            <w:r>
              <w:t xml:space="preserve">668,400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24-Jun-26</w:t>
            </w:r>
          </w:p>
        </w:tc>
        <w:tc>
          <w:tcPr>
            <w:tcMar>
              <w:top w:type="dxa" w:w="80"/>
              <w:left w:type="dxa" w:w="120"/>
              <w:bottom w:type="dxa" w:w="80"/>
              <w:right w:type="dxa" w:w="120"/>
            </w:tcMar>
            <w:vAlign w:val="center"/>
          </w:tcPr>
          <w:p>
            <w:pPr>
              <w:pStyle w:val="MdTableCell"/>
            </w:pPr>
            <w:r>
              <w:t xml:space="preserve">2,590,000</w:t>
            </w:r>
          </w:p>
        </w:tc>
        <w:tc>
          <w:tcPr>
            <w:tcMar>
              <w:top w:type="dxa" w:w="80"/>
              <w:left w:type="dxa" w:w="120"/>
              <w:bottom w:type="dxa" w:w="80"/>
              <w:right w:type="dxa" w:w="120"/>
            </w:tcMar>
            <w:vAlign w:val="center"/>
          </w:tcPr>
          <w:p>
            <w:pPr>
              <w:pStyle w:val="MdTableCell"/>
            </w:pPr>
            <w:r>
              <w:t xml:space="preserve">2,621,000</w:t>
            </w:r>
          </w:p>
        </w:tc>
        <w:tc>
          <w:tcPr>
            <w:tcMar>
              <w:top w:type="dxa" w:w="80"/>
              <w:left w:type="dxa" w:w="120"/>
              <w:bottom w:type="dxa" w:w="80"/>
              <w:right w:type="dxa" w:w="120"/>
            </w:tcMar>
            <w:vAlign w:val="center"/>
          </w:tcPr>
          <w:p>
            <w:pPr>
              <w:pStyle w:val="MdTableCell"/>
            </w:pPr>
            <w:r>
              <w:t xml:space="preserve">2,608,204</w:t>
            </w:r>
          </w:p>
        </w:tc>
        <w:tc>
          <w:tcPr>
            <w:tcBorders>
              <w:right w:val="none"/>
            </w:tcBorders>
            <w:tcMar>
              <w:top w:type="dxa" w:w="80"/>
              <w:left w:type="dxa" w:w="120"/>
              <w:bottom w:type="dxa" w:w="80"/>
              <w:right w:type="dxa" w:w="120"/>
            </w:tcMar>
            <w:vAlign w:val="center"/>
          </w:tcPr>
          <w:p>
            <w:pPr>
              <w:pStyle w:val="MdTableCell"/>
            </w:pPr>
            <w:r>
              <w:t xml:space="preserve">250,300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30-Jun-26</w:t>
            </w:r>
          </w:p>
        </w:tc>
        <w:tc>
          <w:tcPr>
            <w:tcBorders>
              <w:bottom w:val="single" w:color="E1E4E8" w:sz="4"/>
            </w:tcBorders>
            <w:tcMar>
              <w:top w:type="dxa" w:w="80"/>
              <w:left w:type="dxa" w:w="120"/>
              <w:bottom w:type="dxa" w:w="80"/>
              <w:right w:type="dxa" w:w="120"/>
            </w:tcMar>
            <w:vAlign w:val="center"/>
          </w:tcPr>
          <w:p>
            <w:pPr>
              <w:pStyle w:val="MdTableCell"/>
            </w:pPr>
            <w:r>
              <w:t xml:space="preserve">2,693,000</w:t>
            </w:r>
          </w:p>
        </w:tc>
        <w:tc>
          <w:tcPr>
            <w:tcBorders>
              <w:bottom w:val="single" w:color="E1E4E8" w:sz="4"/>
            </w:tcBorders>
            <w:tcMar>
              <w:top w:type="dxa" w:w="80"/>
              <w:left w:type="dxa" w:w="120"/>
              <w:bottom w:type="dxa" w:w="80"/>
              <w:right w:type="dxa" w:w="120"/>
            </w:tcMar>
            <w:vAlign w:val="center"/>
          </w:tcPr>
          <w:p>
            <w:pPr>
              <w:pStyle w:val="MdTableCell"/>
            </w:pPr>
            <w:r>
              <w:t xml:space="preserve">2,650,000</w:t>
            </w:r>
          </w:p>
        </w:tc>
        <w:tc>
          <w:tcPr>
            <w:tcBorders>
              <w:bottom w:val="single" w:color="E1E4E8" w:sz="4"/>
            </w:tcBorders>
            <w:tcMar>
              <w:top w:type="dxa" w:w="80"/>
              <w:left w:type="dxa" w:w="120"/>
              <w:bottom w:type="dxa" w:w="80"/>
              <w:right w:type="dxa" w:w="120"/>
            </w:tcMar>
            <w:vAlign w:val="center"/>
          </w:tcPr>
          <w:p>
            <w:pPr>
              <w:pStyle w:val="MdTableCell"/>
            </w:pPr>
            <w:r>
              <w:t xml:space="preserve">2,658,359</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893,000</w:t>
            </w:r>
          </w:p>
        </w:tc>
      </w:tr>
    </w:tbl>
    <w:p>
      <w:pPr>
        <w:pStyle w:val="Heading3"/>
        <w:pStyle w:val="MdHeading3"/>
      </w:pPr>
      <w:r>
        <w:t xml:space="preserve">FX Rate</w:t>
      </w:r>
    </w:p>
    <w:p>
      <w:pPr>
        <w:pStyle w:val="MdParagraph"/>
      </w:pPr>
      <w:r>
        <w:t xml:space="preserve">Use </w:t>
      </w:r>
      <w:r>
        <w:rPr>
          <w:rStyle w:val="MdStrong"/>
          <w:b/>
          <w:bCs/>
        </w:rPr>
        <w:t xml:space="preserve">USD/KRW = 1,380</w:t>
      </w:r>
      <w:r>
        <w:t xml:space="preserve"> for all dates unless actual rates are available.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Output Files Expected</w:t>
      </w:r>
    </w:p>
    <w:p>
      <w:pPr>
        <w:pStyle w:val="MdListItem"/>
        <w:numPr>
          <w:ilvl w:val="0"/>
          <w:numId w:val="3"/>
        </w:numPr>
      </w:pPr>
      <w:r>
        <w:rPr>
          <w:rStyle w:val="MdCode"/>
          <w:u w:val="single"/>
        </w:rPr>
        <w:t xml:space="preserve">CSOP_7709_Rebalance_Study.xlsx</w:t>
      </w:r>
      <w:r>
        <w:t xml:space="preserve"> — Excel workbook with all sheets and charts as described above</w:t>
      </w:r>
    </w:p>
    <w:p>
      <w:pPr>
        <w:pStyle w:val="MdListItem"/>
        <w:numPr>
          <w:ilvl w:val="0"/>
          <w:numId w:val="3"/>
        </w:numPr>
      </w:pPr>
      <w:r>
        <w:t xml:space="preserve">(Optional) </w:t>
      </w:r>
      <w:r>
        <w:rPr>
          <w:rStyle w:val="MdCode"/>
          <w:u w:val="single"/>
        </w:rPr>
        <w:t xml:space="preserve">CSOP_7709_Rebalance_Study.pdf</w:t>
      </w:r>
      <w:r>
        <w:t xml:space="preserve"> — PDF export of the analysis report</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Em"/>
          <w:i/>
          <w:iCs/>
        </w:rPr>
        <w:t xml:space="preserve">End of instruction prompt.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2026-07-03T05:55:57.297Z</dcterms:created>
  <dcterms:modified xsi:type="dcterms:W3CDTF">2026-07-03T05:55:57.297Z</dcterms:modified>
</cp:coreProperties>
</file>

<file path=docProps/custom.xml><?xml version="1.0" encoding="utf-8"?>
<Properties xmlns="http://schemas.openxmlformats.org/officeDocument/2006/custom-properties" xmlns:vt="http://schemas.openxmlformats.org/officeDocument/2006/docPropsVTypes"/>
</file>