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CSOP 简历项目经历</w:t>
      </w:r>
    </w:p>
    <w:p>
      <w:pPr>
        <w:pStyle w:val="Subtitle"/>
      </w:pPr>
      <w:r>
        <w:t>中文主稿 | 3 个项目点 + 1 个日常监控点</w:t>
      </w:r>
    </w:p>
    <w:p>
      <w:pPr>
        <w:pStyle w:val="Heading1"/>
        <w:spacing w:before="0"/>
      </w:pPr>
      <w:r>
        <w:t>推荐表述</w:t>
      </w:r>
    </w:p>
    <w:p>
      <w:pPr>
        <w:keepNext/>
        <w:keepLines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Arial Unicode MS"/>
          <w:b/>
          <w:i w:val="0"/>
          <w:color w:val="0B2545"/>
          <w:sz w:val="22"/>
        </w:rPr>
        <w:t>ETF 产品开发与策略研究：</w:t>
      </w:r>
      <w:r>
        <w:rPr>
          <w:rFonts w:ascii="Calibri" w:hAnsi="Calibri" w:eastAsia="Arial Unicode MS"/>
          <w:b w:val="0"/>
          <w:i w:val="0"/>
          <w:color w:val="000000"/>
          <w:sz w:val="22"/>
        </w:rPr>
        <w:t>协助维护指数备兑及单一股票杠杆/反向产品 launch checklist，跨法律合规、资本市场、产品、基金运营、交易及 IT 团队跟踪审批与协议、SFC 授权、做市/种子资金、账户开立、OMS/UAT 及上市准备；同步梳理内地主动 ETF 准入/持仓/披露规则与美国市场演进，并统计 15 只高溢价停牌 ETF/LOF 的折溢价、AUM、申购上限及成交表现，支持产品立项与竞品定位。</w:t>
      </w:r>
    </w:p>
    <w:p>
      <w:pPr>
        <w:keepNext/>
        <w:keepLines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Arial Unicode MS"/>
          <w:b/>
          <w:i w:val="0"/>
          <w:color w:val="0B2545"/>
          <w:sz w:val="22"/>
        </w:rPr>
        <w:t>7709 调仓冲击实证研究：</w:t>
      </w:r>
      <w:r>
        <w:rPr>
          <w:rFonts w:ascii="Calibri" w:hAnsi="Calibri" w:eastAsia="Arial Unicode MS"/>
          <w:b w:val="0"/>
          <w:i w:val="0"/>
          <w:color w:val="000000"/>
          <w:sz w:val="22"/>
        </w:rPr>
        <w:t>依据产品说明书复现 2 倍杠杆产品每日调仓公式，整合 NAV/AUM、SK 海力士收盘价与尾盘 30 分钟量价数据，构建 30 个交易日样本（27 日具备有效 K 线），计算调仓金额、冲击比与方向一致性并完成回归及可视化；结果显示冲击比仅解释 0.49% 的尾盘价格波动，为评估结构性调仓对市场流动性的影响提供数据依据。</w:t>
      </w:r>
    </w:p>
    <w:p>
      <w:pPr>
        <w:keepNext/>
        <w:keepLines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Arial Unicode MS"/>
          <w:b/>
          <w:i w:val="0"/>
          <w:color w:val="0B2545"/>
          <w:sz w:val="22"/>
        </w:rPr>
        <w:t>韩国/AI 市场专题研究与路演支持：</w:t>
      </w:r>
      <w:r>
        <w:rPr>
          <w:rFonts w:ascii="Calibri" w:hAnsi="Calibri" w:eastAsia="Arial Unicode MS"/>
          <w:b w:val="0"/>
          <w:i w:val="0"/>
          <w:color w:val="000000"/>
          <w:sz w:val="22"/>
        </w:rPr>
        <w:t>结合卖方研究、资金流数据及 75 分钟 Toss Securities 专家访谈，梳理韩国散户去杠杆、单股杠杆 ETF 监管、NPS 再平衡、SK 海力士 ADR 溢价与存储周期，延伸分析 AI 硬件瓶颈、HBM/DRAM 供需及 MLCC/TCB 等产业链机会，支持内部分享与韩国路演材料制作。</w:t>
      </w:r>
    </w:p>
    <w:p>
      <w:pPr>
        <w:keepNext w:val="0"/>
        <w:keepLines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Arial Unicode MS"/>
          <w:b/>
          <w:i w:val="0"/>
          <w:color w:val="0B2545"/>
          <w:sz w:val="22"/>
        </w:rPr>
        <w:t>日常产品与竞品监测：</w:t>
      </w:r>
      <w:r>
        <w:rPr>
          <w:rFonts w:ascii="Calibri" w:hAnsi="Calibri" w:eastAsia="Arial Unicode MS"/>
          <w:b w:val="0"/>
          <w:i w:val="0"/>
          <w:color w:val="000000"/>
          <w:sz w:val="22"/>
        </w:rPr>
        <w:t>维护包含约 70 个工作表的境内外基金日/周度监控框架，覆盖 A500、恒生科技、跨境、香港黄金及 MPF ETF 与增强债基，更新规模/份额、净申赎、成交额、申赎限额、折溢价及收益表现；按纳入条件筛选并跟踪南向通 ETF 候选池，汇总头部产品规模差距、南向通持仓/占比、资金流向与盘后流动性变化，支持产品运营及竞品分析。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1"/>
        <w:spacing w:before="0" w:after="80" w:line="300" w:lineRule="auto"/>
      </w:pPr>
      <w:rPr>
        <w:rFonts w:ascii="Calibri" w:hAnsi="Calibri" w:eastAsia="Arial Unicode MS"/>
        <w:sz w:val="22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Arial Unicode MS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 w:eastAsia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 w:eastAsia="Arial Unicode MS"/>
      <w:b/>
      <w:color w:val="0B2545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40" w:line="240" w:lineRule="auto"/>
    </w:pPr>
    <w:rPr>
      <w:rFonts w:asciiTheme="majorHAnsi" w:eastAsiaTheme="majorEastAsia" w:hAnsiTheme="majorHAnsi" w:cstheme="majorBidi" w:ascii="Calibri" w:hAnsi="Calibri" w:eastAsia="Arial Unicode MS"/>
      <w:b w:val="0"/>
      <w:i/>
      <w:iCs/>
      <w:color w:val="5A626C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CSOP 简历项目经历</dc:title>
  <dc:subject>中文简历项目经历主稿</dc:subject>
  <dc:creator>Jayson Lu</dc:creator>
  <cp:keywords/>
  <dc:description/>
  <cp:lastModifiedBy>Jayson Lu</cp:lastModifiedBy>
  <cp:revision>1</cp:revision>
  <dcterms:created xsi:type="dcterms:W3CDTF">2026-07-21T22:21:17Z</dcterms:created>
  <dcterms:modified xsi:type="dcterms:W3CDTF">2026-07-21T22:21:17Z</dcterms:modified>
  <cp:category/>
</cp:coreProperties>
</file>