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CSOP Asset Management Limited</w:t>
      </w:r>
    </w:p>
    <w:p>
      <w:pPr>
        <w:pStyle w:val="Subtitle"/>
      </w:pPr>
      <w:r>
        <w:rPr>
          <w:rFonts w:ascii="Times New Roman" w:hAnsi="Times New Roman" w:eastAsia="Songti SC"/>
          <w:b w:val="0"/>
          <w:i/>
          <w:color w:val="464646"/>
          <w:sz w:val="21"/>
          <w:u w:val="none"/>
        </w:rPr>
        <w:t>Capital Markets | Resume Draft - English Version</w:t>
      </w:r>
    </w:p>
    <w:p>
      <w:pPr>
        <w:pStyle w:val="ResumeProject"/>
      </w:pPr>
      <w:r>
        <w:rPr>
          <w:rFonts w:ascii="Times New Roman" w:hAnsi="Times New Roman" w:eastAsia="Songti SC"/>
          <w:b w:val="0"/>
          <w:i/>
          <w:color w:val="000000"/>
          <w:sz w:val="21"/>
          <w:u w:val="single"/>
        </w:rPr>
        <w:t>Product &amp; Market Monitoring</w:t>
      </w:r>
    </w:p>
    <w:p>
      <w:pPr>
        <w:keepLines/>
        <w:numPr>
          <w:ilvl w:val="0"/>
          <w:numId w:val="10"/>
        </w:numPr>
        <w:spacing w:before="0" w:after="80" w:line="252" w:lineRule="auto"/>
      </w:pPr>
      <w:r>
        <w:rPr>
          <w:rFonts w:ascii="Times New Roman" w:hAnsi="Times New Roman" w:eastAsia="Songti SC"/>
          <w:b w:val="0"/>
          <w:i w:val="0"/>
          <w:color w:val="000000"/>
          <w:sz w:val="21"/>
          <w:u w:val="none"/>
        </w:rPr>
        <w:t>Maintained daily and weekly ETF monitors across flagship and cross-border products; decomposed AUM changes into market performance and net creations/redemptions to identify genuine fund flows, and used creation limits to assess primary-market arbitrage capacity and flag premium or suspension risk; tracked Southbound eligibility and holdings alongside closing-auction liquidity to gauge incremental Mainland demand and institutional execution capacity for product positioning and client coverage.</w:t>
      </w:r>
    </w:p>
    <w:p>
      <w:pPr>
        <w:pStyle w:val="ResumeProject"/>
      </w:pPr>
      <w:r>
        <w:rPr>
          <w:rFonts w:ascii="Times New Roman" w:hAnsi="Times New Roman" w:eastAsia="Songti SC"/>
          <w:b w:val="0"/>
          <w:i/>
          <w:color w:val="000000"/>
          <w:sz w:val="21"/>
          <w:u w:val="single"/>
        </w:rPr>
        <w:t>AI Value Chain - Institutional Roadshow Support</w:t>
      </w:r>
    </w:p>
    <w:p>
      <w:pPr>
        <w:keepLines/>
        <w:numPr>
          <w:ilvl w:val="0"/>
          <w:numId w:val="10"/>
        </w:numPr>
        <w:spacing w:before="0" w:after="80" w:line="252" w:lineRule="auto"/>
      </w:pPr>
      <w:r>
        <w:rPr>
          <w:rFonts w:ascii="Times New Roman" w:hAnsi="Times New Roman" w:eastAsia="Songti SC"/>
          <w:b w:val="0"/>
          <w:i w:val="0"/>
          <w:color w:val="000000"/>
          <w:sz w:val="21"/>
          <w:u w:val="none"/>
        </w:rPr>
        <w:t>Partnered with the Investment Team to develop institutional roadshow materials on the AI hardware value chain and Korea's memory cycle; synthesized sell-side research, fund-flow data and expert interviews into client-ready market color, adding an ETF product and flow perspective across HBM/DRAM, advanced packaging and AI infrastructure for institutional discussions.</w:t>
      </w:r>
    </w:p>
    <w:p>
      <w:pPr>
        <w:pStyle w:val="ResumeProject"/>
      </w:pPr>
      <w:r>
        <w:rPr>
          <w:rFonts w:ascii="Times New Roman" w:hAnsi="Times New Roman" w:eastAsia="Songti SC"/>
          <w:b w:val="0"/>
          <w:i/>
          <w:color w:val="000000"/>
          <w:sz w:val="21"/>
          <w:u w:val="single"/>
        </w:rPr>
        <w:t>Cross-Border Leveraged Products - Underlying Market Impact</w:t>
      </w:r>
    </w:p>
    <w:p>
      <w:pPr>
        <w:keepLines/>
        <w:numPr>
          <w:ilvl w:val="0"/>
          <w:numId w:val="10"/>
        </w:numPr>
        <w:spacing w:before="0" w:after="80" w:line="252" w:lineRule="auto"/>
      </w:pPr>
      <w:r>
        <w:rPr>
          <w:rFonts w:ascii="Times New Roman" w:hAnsi="Times New Roman" w:eastAsia="Songti SC"/>
          <w:b w:val="0"/>
          <w:i w:val="0"/>
          <w:color w:val="000000"/>
          <w:sz w:val="21"/>
          <w:u w:val="none"/>
        </w:rPr>
        <w:t>Evaluated the impact of cross-border leveraged products on underlying equities by reconstructing daily rebalancing mechanics from prospectus terms and integrating product NAV/AUM with intraday price and turnover data; compared large-move and normal trading days to test whether predictable closing hedging flows amplified end-of-day volatility.</w:t>
      </w:r>
    </w:p>
    <w:p>
      <w:pPr>
        <w:pStyle w:val="ResumeProject"/>
      </w:pPr>
      <w:r>
        <w:rPr>
          <w:rFonts w:ascii="Times New Roman" w:hAnsi="Times New Roman" w:eastAsia="Songti SC"/>
          <w:b w:val="0"/>
          <w:i/>
          <w:color w:val="000000"/>
          <w:sz w:val="21"/>
          <w:u w:val="single"/>
        </w:rPr>
        <w:t>Active ETF - Product Strategy &amp; Design</w:t>
      </w:r>
    </w:p>
    <w:p>
      <w:pPr>
        <w:keepLines/>
        <w:numPr>
          <w:ilvl w:val="0"/>
          <w:numId w:val="10"/>
        </w:numPr>
        <w:spacing w:before="0" w:after="80" w:line="252" w:lineRule="auto"/>
      </w:pPr>
      <w:r>
        <w:rPr>
          <w:rFonts w:ascii="Times New Roman" w:hAnsi="Times New Roman" w:eastAsia="Songti SC"/>
          <w:b w:val="0"/>
          <w:i w:val="0"/>
          <w:color w:val="000000"/>
          <w:sz w:val="21"/>
          <w:u w:val="none"/>
        </w:rPr>
        <w:t>Supported active ETF product strategy by translating Mainland regulatory requirements and U.S. market precedents into product design and commercialization recommendations; assessed scalable strategy formats, transparency and portfolio constraints, target investor segments and adviser-led distribution models to inform product positioning and development priorities.</w:t>
      </w:r>
    </w:p>
    <w:p>
      <w:r>
        <w:br w:type="page"/>
      </w:r>
    </w:p>
    <w:p>
      <w:pPr>
        <w:pStyle w:val="Title"/>
      </w:pPr>
      <w:r>
        <w:t>南方东英资产管理有限公司</w:t>
      </w:r>
    </w:p>
    <w:p>
      <w:pPr>
        <w:pStyle w:val="Subtitle"/>
      </w:pPr>
      <w:r>
        <w:rPr>
          <w:rFonts w:ascii="Times New Roman" w:hAnsi="Times New Roman" w:eastAsia="Songti SC"/>
          <w:b w:val="0"/>
          <w:i/>
          <w:color w:val="464646"/>
          <w:sz w:val="21"/>
          <w:u w:val="none"/>
        </w:rPr>
        <w:t>资本市场 | 简历表述 - 中文版本</w:t>
      </w:r>
    </w:p>
    <w:p>
      <w:pPr>
        <w:pStyle w:val="ResumeProject"/>
      </w:pPr>
      <w:r>
        <w:rPr>
          <w:rFonts w:ascii="Times New Roman" w:hAnsi="Times New Roman" w:eastAsia="Songti SC"/>
          <w:b w:val="0"/>
          <w:i/>
          <w:color w:val="000000"/>
          <w:sz w:val="21"/>
          <w:u w:val="single"/>
        </w:rPr>
        <w:t>日常产品与市场监测</w:t>
      </w:r>
    </w:p>
    <w:p>
      <w:pPr>
        <w:keepLines/>
        <w:numPr>
          <w:ilvl w:val="0"/>
          <w:numId w:val="10"/>
        </w:numPr>
        <w:spacing w:before="0" w:after="80" w:line="252" w:lineRule="auto"/>
      </w:pPr>
      <w:r>
        <w:rPr>
          <w:rFonts w:ascii="Times New Roman" w:hAnsi="Times New Roman" w:eastAsia="Songti SC"/>
          <w:b w:val="0"/>
          <w:i w:val="0"/>
          <w:color w:val="000000"/>
          <w:sz w:val="21"/>
          <w:u w:val="none"/>
        </w:rPr>
        <w:t>维护旗舰及跨境 ETF 日/周度监测；拆分市场表现与净申赎对规模变化的贡献以识别真实资金方向，并通过申购限额判断一级市场套利容量及高溢价/停牌风险；结合南向通纳入门槛与持仓、收盘竞价流动性评估内地增量需求及机构大额交易承接能力，为产品定位与客户沟通提供市场信息。</w:t>
      </w:r>
    </w:p>
    <w:p>
      <w:pPr>
        <w:pStyle w:val="ResumeProject"/>
      </w:pPr>
      <w:r>
        <w:rPr>
          <w:rFonts w:ascii="Times New Roman" w:hAnsi="Times New Roman" w:eastAsia="Songti SC"/>
          <w:b w:val="0"/>
          <w:i/>
          <w:color w:val="000000"/>
          <w:sz w:val="21"/>
          <w:u w:val="single"/>
        </w:rPr>
        <w:t>AI 产业链 - 机构路演支持</w:t>
      </w:r>
    </w:p>
    <w:p>
      <w:pPr>
        <w:keepLines/>
        <w:numPr>
          <w:ilvl w:val="0"/>
          <w:numId w:val="10"/>
        </w:numPr>
        <w:spacing w:before="0" w:after="80" w:line="252" w:lineRule="auto"/>
      </w:pPr>
      <w:r>
        <w:rPr>
          <w:rFonts w:ascii="Times New Roman" w:hAnsi="Times New Roman" w:eastAsia="Songti SC"/>
          <w:b w:val="0"/>
          <w:i w:val="0"/>
          <w:color w:val="000000"/>
          <w:sz w:val="21"/>
          <w:u w:val="none"/>
        </w:rPr>
        <w:t>与投资团队协作撰写 AI 硬件产业链及韩国存储周期的机构路演材料；整合卖方研究、资金流数据与专家访谈，提炼客户可用的 market color，并从 HBM/DRAM、先进封装及 AI 基础设施等机会中补充 ETF 产品与资金行为视角，支持机构客户讨论。</w:t>
      </w:r>
    </w:p>
    <w:p>
      <w:pPr>
        <w:pStyle w:val="ResumeProject"/>
      </w:pPr>
      <w:r>
        <w:rPr>
          <w:rFonts w:ascii="Times New Roman" w:hAnsi="Times New Roman" w:eastAsia="Songti SC"/>
          <w:b w:val="0"/>
          <w:i/>
          <w:color w:val="000000"/>
          <w:sz w:val="21"/>
          <w:u w:val="single"/>
        </w:rPr>
        <w:t>跨境杠杆产品 - 底层市场影响研究</w:t>
      </w:r>
    </w:p>
    <w:p>
      <w:pPr>
        <w:keepLines/>
        <w:numPr>
          <w:ilvl w:val="0"/>
          <w:numId w:val="10"/>
        </w:numPr>
        <w:spacing w:before="0" w:after="80" w:line="252" w:lineRule="auto"/>
      </w:pPr>
      <w:r>
        <w:rPr>
          <w:rFonts w:ascii="Times New Roman" w:hAnsi="Times New Roman" w:eastAsia="Songti SC"/>
          <w:b w:val="0"/>
          <w:i w:val="0"/>
          <w:color w:val="000000"/>
          <w:sz w:val="21"/>
          <w:u w:val="none"/>
        </w:rPr>
        <w:t>研究跨境杠杆产品对底层正股的市场影响：基于产品说明书复现每日再平衡机制，结合产品 NAV/AUM 与正股日内量价数据，构建大幅波动日与正常交易日对照样本，检验可预期的尾盘对冲流是否放大收盘阶段波动。</w:t>
      </w:r>
    </w:p>
    <w:p>
      <w:pPr>
        <w:pStyle w:val="ResumeProject"/>
      </w:pPr>
      <w:r>
        <w:rPr>
          <w:rFonts w:ascii="Times New Roman" w:hAnsi="Times New Roman" w:eastAsia="Songti SC"/>
          <w:b w:val="0"/>
          <w:i/>
          <w:color w:val="000000"/>
          <w:sz w:val="21"/>
          <w:u w:val="single"/>
        </w:rPr>
        <w:t>主动 ETF - 产品策略与设计</w:t>
      </w:r>
    </w:p>
    <w:p>
      <w:pPr>
        <w:keepLines/>
        <w:numPr>
          <w:ilvl w:val="0"/>
          <w:numId w:val="10"/>
        </w:numPr>
        <w:spacing w:before="0" w:after="80" w:line="252" w:lineRule="auto"/>
      </w:pPr>
      <w:r>
        <w:rPr>
          <w:rFonts w:ascii="Times New Roman" w:hAnsi="Times New Roman" w:eastAsia="Songti SC"/>
          <w:b w:val="0"/>
          <w:i w:val="0"/>
          <w:color w:val="000000"/>
          <w:sz w:val="21"/>
          <w:u w:val="none"/>
        </w:rPr>
        <w:t>支持主动 ETF 产品策略研究，将内地监管要求与美国成熟市场案例转化为产品设计及商业化建议；评估可规模化的策略形态、组合透明度与运作约束、目标客群及投顾渠道分销模式，为产品定位与开发优先级提供依据。</w:t>
      </w:r>
    </w:p>
    <w:sectPr w:rsidR="00FC693F" w:rsidRPr="0006063C" w:rsidSect="00034616">
      <w:pgSz w:w="12240" w:h="15840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420"/>
        </w:tabs>
        <w:ind w:left="420" w:hanging="300"/>
        <w:spacing w:before="0" w:after="80" w:line="252" w:lineRule="auto"/>
      </w:pPr>
      <w:rPr>
        <w:rFonts w:ascii="Times New Roman" w:hAnsi="Times New Roman" w:eastAsia="Songti SC"/>
        <w:sz w:val="21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Times New Roman" w:hAnsi="Times New Roman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 w:line="240" w:lineRule="auto"/>
      <w:outlineLvl w:val="0"/>
    </w:pPr>
    <w:rPr>
      <w:rFonts w:asciiTheme="majorHAnsi" w:eastAsiaTheme="majorEastAsia" w:hAnsiTheme="majorHAnsi" w:cstheme="majorBidi" w:ascii="Times New Roman" w:hAnsi="Times New Roman" w:eastAsia="Songti S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 w:line="240" w:lineRule="auto"/>
      <w:outlineLvl w:val="1"/>
    </w:pPr>
    <w:rPr>
      <w:rFonts w:asciiTheme="majorHAnsi" w:eastAsiaTheme="majorEastAsia" w:hAnsiTheme="majorHAnsi" w:cstheme="majorBidi" w:ascii="Times New Roman" w:hAnsi="Times New Roman" w:eastAsia="Songti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40" w:lineRule="auto"/>
      <w:outlineLvl w:val="2"/>
    </w:pPr>
    <w:rPr>
      <w:rFonts w:asciiTheme="majorHAnsi" w:eastAsiaTheme="majorEastAsia" w:hAnsiTheme="majorHAnsi" w:cstheme="majorBidi" w:ascii="Times New Roman" w:hAnsi="Times New Roman" w:eastAsia="Song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Songti SC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40" w:line="240" w:lineRule="auto"/>
    </w:pPr>
    <w:rPr>
      <w:rFonts w:asciiTheme="majorHAnsi" w:eastAsiaTheme="majorEastAsia" w:hAnsiTheme="majorHAnsi" w:cstheme="majorBidi" w:ascii="Times New Roman" w:hAnsi="Times New Roman" w:eastAsia="Songti SC"/>
      <w:b w:val="0"/>
      <w:i/>
      <w:iCs/>
      <w:color w:val="464646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Project">
    <w:name w:val="Resume Project"/>
    <w:pPr>
      <w:keepNext/>
      <w:spacing w:before="80" w:after="0" w:line="240" w:lineRule="auto"/>
    </w:pPr>
    <w:rPr>
      <w:rFonts w:ascii="Times New Roman" w:hAnsi="Times New Roman" w:eastAsia="Songti SC"/>
      <w:b w:val="0"/>
      <w:i/>
      <w:color w:val="000000"/>
      <w:sz w:val="2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CSOP Capital Markets Resume Draft - Bilingual</dc:title>
  <dc:subject>English and Chinese resume wording</dc:subject>
  <dc:creator>Jayson Lu</dc:creator>
  <cp:keywords/>
  <dc:description/>
  <cp:lastModifiedBy>Jayson Lu</cp:lastModifiedBy>
  <cp:revision>1</cp:revision>
  <dcterms:created xsi:type="dcterms:W3CDTF">2026-07-22T13:33:58Z</dcterms:created>
  <dcterms:modified xsi:type="dcterms:W3CDTF">2026-07-22T13:33:58Z</dcterms:modified>
  <cp:category/>
</cp:coreProperties>
</file>