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China Market Update</w:t>
      </w:r>
    </w:p>
    <w:p>
      <w:pPr>
        <w:pStyle w:val="BodyText"/>
      </w:pPr>
      <w:r>
        <w:t xml:space="preserve">Economy Overview</w:t>
      </w:r>
    </w:p>
    <w:p>
      <w:pPr>
        <w:pStyle w:val="BodyText"/>
      </w:pPr>
      <w:r>
        <w:t xml:space="preserve">Let me start with the big picture. China’s economy started 2026 with a relatively solid first quarter. GDP reached around RMB33.4 trillion in Q1, up 5.0% year on year and 1.3% quarter on quarter, which was faster than Q4 2025 and broadly within the government’s full-year growth target range.</w:t>
      </w:r>
    </w:p>
    <w:p>
      <w:pPr>
        <w:pStyle w:val="BodyText"/>
      </w:pPr>
      <w:r>
        <w:t xml:space="preserve">The growth was still mainly supported by production, manufacturing, and exports rather than a full recovery in domestic consumption. Industrial output grew 6.1% year on year, with equipment manufacturing up 8.9% and high-tech manufacturing up 12.5%. Products like lithium-ion batteries, industrial robots, and 3D printing equipment continued to show strong growth, which shows that China’s new manufacturing sectors are still carrying the economy.</w:t>
      </w:r>
    </w:p>
    <w:p>
      <w:pPr>
        <w:pStyle w:val="BodyText"/>
      </w:pPr>
      <w:r>
        <w:t xml:space="preserve">Consumption improved, but only gradually. Retail sales grew 2.4% year on year, while service retail grew 5.5%. Online retail of goods and services grew 8.0%, showing that digital consumption and service-based spending are still healthier than traditional offline retail. However, the overall message is that domestic demand is recovering, but it is not yet strong enough to fully replace exports and industrial production as the main growth driver.</w:t>
      </w:r>
    </w:p>
    <w:p>
      <w:pPr>
        <w:pStyle w:val="BodyText"/>
      </w:pPr>
      <w:r>
        <w:t xml:space="preserve">Trade was very strong in Q1. Total imports and exports reached around RMB11.84 trillion, up 15.0% year on year. Exports grew 11.9%, while imports grew 19.6%. Mechanical and electrical products continued to be the key export driver, and private enterprises still accounted for more than half of total trade. This suggests that Chinese supply chains remain highly competitive globally, even though trade tensions with the US and Europe remain a long-term risk.</w:t>
      </w:r>
    </w:p>
    <w:p>
      <w:pPr>
        <w:pStyle w:val="BodyText"/>
      </w:pPr>
      <w:r>
        <w:t xml:space="preserve">Government Policy</w:t>
      </w:r>
    </w:p>
    <w:p>
      <w:pPr>
        <w:pStyle w:val="BodyText"/>
      </w:pPr>
      <w:r>
        <w:t xml:space="preserve">Now let’s talk about policy. The government’s 2026 approach is still focused on stabilizing growth, but the policy mix is more targeted than before. The GDP growth target is set at 4.5% to 5.0%, while the deficit-to-GDP ratio remains around 4.0%. The government also plans to issue RMB1.3 trillion of ultra-long special treasury bonds and RMB4.4 trillion of local government special-purpose bonds.</w:t>
      </w:r>
    </w:p>
    <w:p>
      <w:pPr>
        <w:pStyle w:val="BodyText"/>
      </w:pPr>
      <w:r>
        <w:t xml:space="preserve">The spending direction is quite clear. Fiscal support is going mainly into infrastructure, consumer goods trade-in programs, major national strategies, and new industries such as integrated circuits, aerospace, biomedicine, low-altitude economy, embodied AI, quantum technology, and 6G. In other words, the government is not simply stimulating demand through broad cash support; it is trying to push capital into sectors that can support long-term industrial upgrading.</w:t>
      </w:r>
    </w:p>
    <w:p>
      <w:pPr>
        <w:pStyle w:val="BodyText"/>
      </w:pPr>
      <w:r>
        <w:t xml:space="preserve">On monetary policy, the PBOC remains supportive but cautious. It has signaled that it can still use reserve requirement ratio cuts and interest rate tools when needed, but benchmark lending rates were kept unchanged in Q1. This means liquidity is still supportive, but the government is trying to avoid excessive leverage, currency pressure, or another asset bubble. Overall, fiscal policy is doing more of the heavy lifting, while monetary policy remains accommodative but controlled.</w:t>
      </w:r>
    </w:p>
    <w:p>
      <w:pPr>
        <w:pStyle w:val="BodyText"/>
      </w:pPr>
      <w:r>
        <w:t xml:space="preserve">Stock Markets</w:t>
      </w:r>
    </w:p>
    <w:p>
      <w:pPr>
        <w:pStyle w:val="BodyText"/>
      </w:pPr>
      <w:r>
        <w:t xml:space="preserve">Then let’s turn to capital markets. China and Hong Kong markets were much more active in Q1 2026 than a year earlier. A-share trading activity stayed at a high level, with average daily turnover around RMB2.58 trillion in Q1, up about 70% year on year. This helped brokerage revenue and also improved the overall environment for financing and exits.</w:t>
      </w:r>
    </w:p>
    <w:p>
      <w:pPr>
        <w:pStyle w:val="BodyText"/>
      </w:pPr>
      <w:r>
        <w:t xml:space="preserve">Hong Kong’s market was even stronger. Average daily turnover in Hong Kong’s cash equity market reached HK$276.7 billion in Q1, up 14% year on year. March was especially active, with average daily turnover above HK$300 billion. This shows that liquidity has clearly come back to the market.</w:t>
      </w:r>
    </w:p>
    <w:p>
      <w:pPr>
        <w:pStyle w:val="BodyText"/>
      </w:pPr>
      <w:r>
        <w:t xml:space="preserve">The IPO market also had a strong start. Hong Kong recorded 40 new listings in Q1, raising HK$110.4 billion, compared with only HK$18.7 billion in Q1 2025. This made Hong Kong the world’s top IPO venue by funds raised in the quarter. TMT was the dominant sector, with AI-related companies across the value chain taking a meaningful share of fundraising. Total ECM fundraising also reached around US$30.6 billion, the highest Q1 level in five years.</w:t>
      </w:r>
    </w:p>
    <w:p>
      <w:pPr>
        <w:pStyle w:val="BodyText"/>
      </w:pPr>
      <w:r>
        <w:t xml:space="preserve">Stock Connect also remained very active. Southbound and Northbound trading volumes both reached record levels, with Southbound average daily turnover at HK$122.5 billion and Northbound average daily turnover at RMB324.1 billion. Mainland investors also contributed more than HK$220 billion of net Southbound inflows, mainly into technology and consumer names. Overall, Q1 showed that Greater China’s capital markets are again becoming a real exit and financing option for quality companies.</w:t>
      </w:r>
    </w:p>
    <w:p>
      <w:pPr>
        <w:pStyle w:val="BodyText"/>
      </w:pPr>
      <w:r>
        <w:t xml:space="preserve">Portfolio Update</w:t>
      </w:r>
    </w:p>
    <w:p>
      <w:pPr>
        <w:pStyle w:val="BodyText"/>
      </w:pPr>
      <w:r>
        <w:t xml:space="preserve">Doing Well</w:t>
      </w:r>
    </w:p>
    <w:p>
      <w:pPr>
        <w:pStyle w:val="BodyText"/>
      </w:pPr>
      <w:r>
        <w:t xml:space="preserve">Now let me update you on our investments. The stronger Hong Kong IPO and ECM market is helpful for the portfolio, especially for companies that already have a clear listing or financing plan. Nucarf, Bota, OPay, and ZYB remain the core names where public market exit is still a realistic path.</w:t>
      </w:r>
    </w:p>
    <w:p>
      <w:pPr>
        <w:pStyle w:val="BodyText"/>
      </w:pPr>
      <w:r>
        <w:t xml:space="preserve">Nucarf’s Q1 revenue was slightly below the original expectation, but the business is still supported by volume growth and potential oil price recovery. The key question is whether Q2 and Q3 can recover enough to support the full-year revenue target. Since diesel prices were lower in the first two months of Q1 compared with last year, the Q1 weakness has some macro explanation, but we still need to monitor whether the company’s contracts are more volume-driven or price-linked.</w:t>
      </w:r>
    </w:p>
    <w:p>
      <w:pPr>
        <w:pStyle w:val="BodyText"/>
      </w:pPr>
      <w:r>
        <w:t xml:space="preserve">Bota remains on track after securing funding and continuing to expand product and manufacturing capacity. Given the stronger Hong Kong IPO environment and the market’s interest in specialist technology and advanced manufacturing names, Bota’s listing story is becoming easier to communicate if execution remains stable.</w:t>
      </w:r>
    </w:p>
    <w:p>
      <w:pPr>
        <w:pStyle w:val="BodyText"/>
      </w:pPr>
      <w:r>
        <w:t xml:space="preserve">OPay continues to be one of the healthier growth assets in the portfolio. The company still has strong revenue momentum and profitability, and its fintech infrastructure in emerging markets gives it a clearer long-term growth story. ZYB is also still actively working toward its US listing path, although regulatory communication and market timing remain important variables.</w:t>
      </w:r>
    </w:p>
    <w:p>
      <w:pPr>
        <w:pStyle w:val="BodyText"/>
      </w:pPr>
      <w:r>
        <w:t xml:space="preserve">Webull is also worth monitoring positively. Although the stock price has been volatile, the underlying business performance remains strong, and the current market recovery gives us more room to manage the remaining exposure instead of exiting under pressure.</w:t>
      </w:r>
    </w:p>
    <w:p>
      <w:pPr>
        <w:pStyle w:val="BodyText"/>
      </w:pPr>
      <w:r>
        <w:t xml:space="preserve">Monitoring</w:t>
      </w:r>
    </w:p>
    <w:p>
      <w:pPr>
        <w:pStyle w:val="BodyText"/>
      </w:pPr>
      <w:r>
        <w:t xml:space="preserve">Good Driver, Cider, StarRocks, and Litmatch are the main names where we need to watch execution more closely.</w:t>
      </w:r>
    </w:p>
    <w:p>
      <w:pPr>
        <w:pStyle w:val="BodyText"/>
      </w:pPr>
      <w:r>
        <w:t xml:space="preserve">StarRocks had a very strong Q1 on growth. ARR reached around US$17.5 million, and Q1 revenue reached around US$3.6 million, up 143% year on year. Core customers such as Apple, Coinbase, and Pinterest completed renewals, and the company also secured US$4.5 million in annual subscriptions from AppLovin and signed SmartNews as a new client. The key issue is that ARR is not the same as recognized revenue, so we should not overread the Q1 ARR number as full revenue performance. Still, the customer quality, renewal performance, and new enterprise wins show that the product has clear market validation.</w:t>
      </w:r>
    </w:p>
    <w:p>
      <w:pPr>
        <w:pStyle w:val="BodyText"/>
      </w:pPr>
      <w:r>
        <w:t xml:space="preserve">Cider also had a better Q1 than before. Paid GMV reached around US$86 million, achieving 105% of its Q1 target and growing 17% year on year. The company also received a US$4 million personal investment from Victor and onboarded a new VP for independent website operations. The issue is still whether growth can translate into sustainable margin and cash flow improvement, but the Q1 data is at least better than a simple revenue decline story.</w:t>
      </w:r>
    </w:p>
    <w:p>
      <w:pPr>
        <w:pStyle w:val="BodyText"/>
      </w:pPr>
      <w:r>
        <w:t xml:space="preserve">Good Driver has a strong cash position, with around US$44 million of cash and more than four years of runway, but operating progress is still below plan. Q1 mutual aid amount was around US$1.98 million, and service fees were around US$0.40 million, which was weaker than the original Q1 target. The current story is not a liquidity problem; it is whether the company can prove product-market fit and scale the mutual-aid model more efficiently.</w:t>
      </w:r>
    </w:p>
    <w:p>
      <w:pPr>
        <w:pStyle w:val="BodyText"/>
      </w:pPr>
      <w:r>
        <w:t xml:space="preserve">Litmatch remained profitable but with clear pressure on margin and operating efficiency. Q1 revenue was around US$17.33 million, DAU reached 2.24 million, up 12% year on year, and MAU reached 11.01 million, up 7.8% year on year. However, net profit was only around US$76,000, much lower than the same period last year. The user base is still growing, but marketing cost, headcount cost, and weaker performance in some Southeast Asian markets are compressing profit. The Series C preferred share repurchase also needs to be tracked, as it affects capital structure and future exit economics.</w:t>
      </w:r>
    </w:p>
    <w:p>
      <w:pPr>
        <w:pStyle w:val="BodyText"/>
      </w:pPr>
      <w:r>
        <w:t xml:space="preserve">Redemption</w:t>
      </w:r>
    </w:p>
    <w:p>
      <w:pPr>
        <w:pStyle w:val="BodyText"/>
      </w:pPr>
      <w:r>
        <w:t xml:space="preserve">Accutar remains the most important downside-protection case. The company has been working on cash management, pay cuts, layoffs, and negotiations with IDG to extend its convertible bond repayment. It also explored a Curie Bio term sheet, but that path did not move forward because the founder was not willing to accept the proposed structure without a better valuation or investment commitment.</w:t>
      </w:r>
    </w:p>
    <w:p>
      <w:pPr>
        <w:pStyle w:val="BodyText"/>
      </w:pPr>
      <w:r>
        <w:t xml:space="preserve">The current strategy is centered on preserving asset value and creating a financing or exit path. In April, Accutar spun off its ex-US AI platform as part of a reverse-merger IPO plan with First Seafront / Qianhai Kaiyuan Fund. Since then, the IPO partner has started providing around US$1 million per month of IPO loan support until October. This gives the company some time, but it does not fully solve the liquidity issue.</w:t>
      </w:r>
    </w:p>
    <w:p>
      <w:pPr>
        <w:pStyle w:val="BodyText"/>
      </w:pPr>
      <w:r>
        <w:t xml:space="preserve">For recovery analysis, the priority is very clear. The first layer is the US$60 million maximum convertible bond from IDG plus the US$6 million Seafront IPO loan. After this US$66 million senior layer, the next claim is the latest financing round, which is HS, based on a 2x liquidation preference. Therefore, our focus is not on a growth upside story for now, but on whether the remaining IP, AI platform, and pipeline assets can be priced or sold in a way that protects recovery value.</w:t>
      </w:r>
    </w:p>
    <w:p>
      <w:pPr>
        <w:pStyle w:val="BodyText"/>
      </w:pPr>
      <w:r>
        <w:t xml:space="preserve">MetaApp also remains in the value-protection bucket. The company has been able to preserve some profitability through cost cutting, but the growth story is not strong enough yet. The key task is to keep optionality open, control burn, and avoid a forced exit at a weak valuation.</w:t>
      </w:r>
    </w:p>
    <w:p>
      <w:pPr>
        <w:pStyle w:val="BodyText"/>
      </w:pPr>
      <w:r>
        <w:t xml:space="preserve">Amador remains difficult because of the debt structure and limited recovery visibility. Unless there is a clear asset-level recovery path, it should continue to be treated conservatively.</w:t>
      </w:r>
    </w:p>
    <w:p>
      <w:pPr>
        <w:pStyle w:val="BodyText"/>
      </w:pPr>
      <w:r>
        <w:t xml:space="preserve">Sectors to Focus</w:t>
      </w:r>
    </w:p>
    <w:p>
      <w:pPr>
        <w:pStyle w:val="BodyText"/>
      </w:pPr>
      <w:r>
        <w:t xml:space="preserve">AI Hardware Devices</w:t>
      </w:r>
    </w:p>
    <w:p>
      <w:pPr>
        <w:pStyle w:val="BodyText"/>
      </w:pPr>
      <w:r>
        <w:t xml:space="preserve">Let me highlight three sectors we are focused on. First, AI hardware devices. This sector is becoming more interesting because AI is moving from software screens into real-world devices. The key opportunity is that hardware can capture user behavior, voice, images, and physical interaction data directly, while software layers can create recurring revenue through cloud storage, workflow automation, and AI services.</w:t>
      </w:r>
    </w:p>
    <w:p>
      <w:pPr>
        <w:pStyle w:val="BodyText"/>
      </w:pPr>
      <w:r>
        <w:t xml:space="preserve">The most attractive companies are not just selling gadgets. They are turning hardware into a data-entry point and using AI to organize daily work, communication, translation, field service, education, and healthcare workflows. Companies such as Plaud, Timekettle, XREAL, Strutt, and Snapmaker all show different versions of this trend.</w:t>
      </w:r>
    </w:p>
    <w:p>
      <w:pPr>
        <w:pStyle w:val="BodyText"/>
      </w:pPr>
      <w:r>
        <w:t xml:space="preserve">AI Agent Applications</w:t>
      </w:r>
    </w:p>
    <w:p>
      <w:pPr>
        <w:pStyle w:val="BodyText"/>
      </w:pPr>
      <w:r>
        <w:t xml:space="preserve">Second, AI agents. In Q1, the market became more focused on whether agents can move from demos to real business deployment. The key value is not simply chatting with users, but connecting directly with CRM, ERP, customer service, sales, finance, and internal workflow systems. In Asia, where many businesses are chat-first, multilingual, and operationally complex, AI agents can reduce response time, improve conversion, and automate repetitive back-office work.</w:t>
      </w:r>
    </w:p>
    <w:p>
      <w:pPr>
        <w:pStyle w:val="BodyText"/>
      </w:pPr>
      <w:r>
        <w:t xml:space="preserve">The best opportunities are vertical applications with clear ROI. These include customer service, sales support, compliance, tax, document processing, and enterprise operations. We have looked at companies such as Red Magic and Taku, where the key question is whether their products can become workflow infrastructure rather than just another AI tool.</w:t>
      </w:r>
    </w:p>
    <w:p>
      <w:pPr>
        <w:pStyle w:val="BodyText"/>
      </w:pPr>
      <w:r>
        <w:t xml:space="preserve">Embodied AI and Robotics</w:t>
      </w:r>
    </w:p>
    <w:p>
      <w:pPr>
        <w:pStyle w:val="BodyText"/>
      </w:pPr>
      <w:r>
        <w:t xml:space="preserve">Third, embodied AI and robotics. This is becoming more relevant because AI models are increasingly moving from language and vision into action. The investment logic is that robots need to understand the physical world, plan actions, and execute tasks with real-time feedback. This creates opportunities across data collection, simulation, world models, robotic foundation models, and vertical deployment in factories, logistics, retail, healthcare, and home services.</w:t>
      </w:r>
    </w:p>
    <w:p>
      <w:pPr>
        <w:pStyle w:val="BodyText"/>
      </w:pPr>
      <w:r>
        <w:t xml:space="preserve">The key is still commercialization. A company with strong demos but no repeatable deployment path is not enough. We are more interested in teams that can control hardware cost, collect proprietary task data, and show repeatable customer demand in specific scenarios such as manufacturing, inspection, warehousing, or service robotics. This is where embodied AI can move from research narrative to real business value.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2026-05-29T07:39:18Z</dcterms:created>
  <dcterms:modified xsi:type="dcterms:W3CDTF">2026-05-29T07:39:18Z</dcterms:modified>
</cp:coreProperties>
</file>

<file path=docProps/custom.xml><?xml version="1.0" encoding="utf-8"?>
<Properties xmlns="http://schemas.openxmlformats.org/officeDocument/2006/custom-properties" xmlns:vt="http://schemas.openxmlformats.org/officeDocument/2006/docPropsVTypes"/>
</file>