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60"/>
        <w:jc w:val="center"/>
      </w:pPr>
      <w:r>
        <w:rPr>
          <w:rFonts w:ascii="Calibri" w:hAnsi="Calibri"/>
          <w:b/>
          <w:color w:val="2E74B5"/>
          <w:sz w:val="22"/>
        </w:rPr>
        <w:t>INTERVIEW PREPARATION GUIDE</w:t>
      </w:r>
    </w:p>
    <w:p>
      <w:pPr>
        <w:spacing w:after="160"/>
        <w:jc w:val="center"/>
      </w:pPr>
      <w:r>
        <w:rPr>
          <w:rFonts w:ascii="Calibri" w:hAnsi="Calibri"/>
          <w:b/>
          <w:color w:val="0B2545"/>
          <w:sz w:val="56"/>
        </w:rPr>
        <w:t>Structuring &amp; Origination</w:t>
      </w:r>
    </w:p>
    <w:p>
      <w:pPr>
        <w:spacing w:after="520"/>
        <w:jc w:val="center"/>
      </w:pPr>
      <w:r>
        <w:rPr>
          <w:rFonts w:ascii="Calibri" w:hAnsi="Calibri"/>
          <w:color w:val="1F4D78"/>
          <w:sz w:val="28"/>
        </w:rPr>
        <w:t>Three experience walkthroughs, technical follow-ups and interview guardrails</w:t>
      </w:r>
    </w:p>
    <w:p>
      <w:pPr>
        <w:spacing w:after="1600"/>
        <w:jc w:val="center"/>
      </w:pPr>
      <w:r>
        <w:rPr>
          <w:rFonts w:ascii="Calibri" w:hAnsi="Calibri"/>
          <w:color w:val="5C6370"/>
          <w:sz w:val="21"/>
        </w:rPr>
        <w:t>Prepared for Jayson Xicheng Lu  |  July 2026</w:t>
      </w:r>
    </w:p>
    <w:p>
      <w:pPr>
        <w:jc w:val="center"/>
      </w:pPr>
      <w:r>
        <w:rPr>
          <w:rFonts w:ascii="Calibri" w:hAnsi="Calibri"/>
          <w:i/>
          <w:color w:val="5C6370"/>
          <w:sz w:val="20"/>
        </w:rPr>
        <w:t>Use the scripts as speaking frameworks, not as memorized monologues.</w:t>
      </w:r>
    </w:p>
    <w:p>
      <w:r>
        <w:br w:type="page"/>
      </w:r>
    </w:p>
    <w:p>
      <w:pPr>
        <w:pStyle w:val="Heading1"/>
      </w:pPr>
      <w:r>
        <w:t>How to Use This Guide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rPr>
              <w:t xml:space="preserve">Objective: </w:t>
            </w:r>
            <w:r>
              <w:rPr>
                <w:rFonts w:ascii="Calibri" w:hAnsi="Calibri"/>
                <w:color w:val="0B2545"/>
                <w:sz w:val="20"/>
              </w:rPr>
              <w:t>Give a clear 75-90 second walkthrough, then handle technical, commercial and ownership follow-ups without overstating causality or responsibility.</w:t>
            </w:r>
          </w:p>
        </w:tc>
      </w:tr>
    </w:tbl>
    <w:p>
      <w:pPr>
        <w:spacing w:after="0"/>
      </w:pPr>
    </w:p>
    <w:p>
      <w:pPr>
        <w:pStyle w:val="GuideBullet"/>
      </w:pPr>
      <w:r>
        <w:t>Lead with the business question, then explain your method, result and decision implication.</w:t>
      </w:r>
    </w:p>
    <w:p>
      <w:pPr>
        <w:pStyle w:val="GuideBullet"/>
      </w:pPr>
      <w:r>
        <w:t>Use the exact figures only when they strengthen the answer; the logic matters more than memorizing every number.</w:t>
      </w:r>
    </w:p>
    <w:p>
      <w:pPr>
        <w:pStyle w:val="GuideBullet"/>
      </w:pPr>
      <w:r>
        <w:t>Keep ownership precise: analyzed, supported, built, refreshed and partnered are credible; launched, decided and proved are not.</w:t>
      </w:r>
    </w:p>
    <w:p>
      <w:pPr>
        <w:pStyle w:val="GuideBullet"/>
      </w:pPr>
      <w:r>
        <w:t>For DBS, preserve confidentiality by saying 'a potential logistics IPO client' and avoid volunteering the client name or internal valuation range.</w:t>
      </w:r>
    </w:p>
    <w:p>
      <w:pPr>
        <w:pStyle w:val="GuideBullet"/>
      </w:pPr>
      <w:r>
        <w:t>For the leveraged-product study, say 'potential counterparty hedging' and 'tested for impact'; do not say that you observed counterparties' stock trades or proved causality.</w:t>
      </w:r>
    </w:p>
    <w:p>
      <w:pPr>
        <w:pStyle w:val="Heading2"/>
      </w:pPr>
      <w:r>
        <w:t>Three-Story Map</w:t>
      </w:r>
    </w:p>
    <w:tbl>
      <w:tblPr>
        <w:tblStyle w:val="TableGrid"/>
        <w:tblW w:type="dxa" w:w="9360"/>
        <w:jc w:val="left"/>
        <w:tblLayout w:type="fixed"/>
        <w:tblLook w:firstColumn="1" w:firstRow="1" w:lastColumn="0" w:lastRow="0" w:noHBand="0" w:noVBand="1" w:val="04A0"/>
        <w:tblInd w:w="120" w:type="dxa"/>
      </w:tblPr>
      <w:tblGrid>
        <w:gridCol w:w="1900"/>
        <w:gridCol w:w="2500"/>
        <w:gridCol w:w="2500"/>
        <w:gridCol w:w="2460"/>
      </w:tblGrid>
      <w:tr>
        <w:trPr>
          <w:tblHeader w:val="true"/>
        </w:trPr>
        <w:tc>
          <w:tcPr>
            <w:tcW w:type="dxa" w:w="1900"/>
            <w:tcMar>
              <w:top w:w="80" w:type="dxa"/>
              <w:start w:w="120" w:type="dxa"/>
              <w:bottom w:w="80" w:type="dxa"/>
              <w:end w:w="120" w:type="dxa"/>
            </w:tcMar>
            <w:shd w:fill="E8EEF5"/>
            <w:vAlign w:val="center"/>
          </w:tcPr>
          <w:p>
            <w:pPr>
              <w:jc w:val="center"/>
            </w:pPr>
            <w:r>
              <w:rPr>
                <w:rFonts w:ascii="Calibri" w:hAnsi="Calibri"/>
                <w:b/>
                <w:color w:val="0B2545"/>
                <w:sz w:val="19"/>
              </w:rPr>
              <w:t>Experience</w:t>
            </w:r>
          </w:p>
        </w:tc>
        <w:tc>
          <w:tcPr>
            <w:tcW w:type="dxa" w:w="2500"/>
            <w:tcMar>
              <w:top w:w="80" w:type="dxa"/>
              <w:start w:w="120" w:type="dxa"/>
              <w:bottom w:w="80" w:type="dxa"/>
              <w:end w:w="120" w:type="dxa"/>
            </w:tcMar>
            <w:shd w:fill="E8EEF5"/>
            <w:vAlign w:val="center"/>
          </w:tcPr>
          <w:p>
            <w:pPr>
              <w:jc w:val="center"/>
            </w:pPr>
            <w:r>
              <w:rPr>
                <w:rFonts w:ascii="Calibri" w:hAnsi="Calibri"/>
                <w:b/>
                <w:color w:val="0B2545"/>
                <w:sz w:val="19"/>
              </w:rPr>
              <w:t>Core question</w:t>
            </w:r>
          </w:p>
        </w:tc>
        <w:tc>
          <w:tcPr>
            <w:tcW w:type="dxa" w:w="2500"/>
            <w:tcMar>
              <w:top w:w="80" w:type="dxa"/>
              <w:start w:w="120" w:type="dxa"/>
              <w:bottom w:w="80" w:type="dxa"/>
              <w:end w:w="120" w:type="dxa"/>
            </w:tcMar>
            <w:shd w:fill="E8EEF5"/>
            <w:vAlign w:val="center"/>
          </w:tcPr>
          <w:p>
            <w:pPr>
              <w:jc w:val="center"/>
            </w:pPr>
            <w:r>
              <w:rPr>
                <w:rFonts w:ascii="Calibri" w:hAnsi="Calibri"/>
                <w:b/>
                <w:color w:val="0B2545"/>
                <w:sz w:val="19"/>
              </w:rPr>
              <w:t>Headline result</w:t>
            </w:r>
          </w:p>
        </w:tc>
        <w:tc>
          <w:tcPr>
            <w:tcW w:type="dxa" w:w="2460"/>
            <w:tcMar>
              <w:top w:w="80" w:type="dxa"/>
              <w:start w:w="120" w:type="dxa"/>
              <w:bottom w:w="80" w:type="dxa"/>
              <w:end w:w="120" w:type="dxa"/>
            </w:tcMar>
            <w:shd w:fill="E8EEF5"/>
            <w:vAlign w:val="center"/>
          </w:tcPr>
          <w:p>
            <w:pPr>
              <w:jc w:val="center"/>
            </w:pPr>
            <w:r>
              <w:rPr>
                <w:rFonts w:ascii="Calibri" w:hAnsi="Calibri"/>
                <w:b/>
                <w:color w:val="0B2545"/>
                <w:sz w:val="19"/>
              </w:rPr>
              <w:t>S&amp;O signal</w:t>
            </w:r>
          </w:p>
        </w:tc>
      </w:tr>
      <w:tr>
        <w:tc>
          <w:tcPr>
            <w:tcW w:type="dxa" w:w="1900"/>
            <w:vAlign w:val="center"/>
          </w:tcPr>
          <w:p>
            <w:pPr>
              <w:spacing w:after="0"/>
            </w:pPr>
            <w:r>
              <w:rPr>
                <w:rFonts w:ascii="Calibri" w:hAnsi="Calibri"/>
                <w:sz w:val="18"/>
              </w:rPr>
              <w:t>Leveraged product</w:t>
            </w:r>
          </w:p>
        </w:tc>
        <w:tc>
          <w:tcPr>
            <w:tcW w:type="dxa" w:w="2500"/>
            <w:vAlign w:val="center"/>
          </w:tcPr>
          <w:p>
            <w:pPr>
              <w:spacing w:after="0"/>
            </w:pPr>
            <w:r>
              <w:rPr>
                <w:rFonts w:ascii="Calibri" w:hAnsi="Calibri"/>
                <w:sz w:val="18"/>
              </w:rPr>
              <w:t>Can daily leverage resets create closing pressure?</w:t>
            </w:r>
          </w:p>
        </w:tc>
        <w:tc>
          <w:tcPr>
            <w:tcW w:type="dxa" w:w="2500"/>
            <w:vAlign w:val="center"/>
          </w:tcPr>
          <w:p>
            <w:pPr>
              <w:spacing w:after="0"/>
            </w:pPr>
            <w:r>
              <w:rPr>
                <w:rFonts w:ascii="Calibri" w:hAnsi="Calibri"/>
                <w:sz w:val="18"/>
              </w:rPr>
              <w:t>Large potential flow; no proven linear or directional impact</w:t>
            </w:r>
          </w:p>
        </w:tc>
        <w:tc>
          <w:tcPr>
            <w:tcW w:type="dxa" w:w="2460"/>
            <w:vAlign w:val="center"/>
          </w:tcPr>
          <w:p>
            <w:pPr>
              <w:spacing w:after="0"/>
            </w:pPr>
            <w:r>
              <w:rPr>
                <w:rFonts w:ascii="Calibri" w:hAnsi="Calibri"/>
                <w:sz w:val="18"/>
              </w:rPr>
              <w:t>Payoff mechanics, hedging and liquidity</w:t>
            </w:r>
          </w:p>
        </w:tc>
      </w:tr>
      <w:tr>
        <w:tc>
          <w:tcPr>
            <w:tcW w:type="dxa" w:w="1900"/>
            <w:vAlign w:val="center"/>
          </w:tcPr>
          <w:p>
            <w:pPr>
              <w:spacing w:after="0"/>
            </w:pPr>
            <w:r>
              <w:rPr>
                <w:rFonts w:ascii="Calibri" w:hAnsi="Calibri"/>
                <w:sz w:val="18"/>
              </w:rPr>
              <w:t>Active ETF</w:t>
            </w:r>
          </w:p>
        </w:tc>
        <w:tc>
          <w:tcPr>
            <w:tcW w:type="dxa" w:w="2500"/>
            <w:vAlign w:val="center"/>
          </w:tcPr>
          <w:p>
            <w:pPr>
              <w:spacing w:after="0"/>
            </w:pPr>
            <w:r>
              <w:rPr>
                <w:rFonts w:ascii="Calibri" w:hAnsi="Calibri"/>
                <w:sz w:val="18"/>
              </w:rPr>
              <w:t>Which strategies can scale under Mainland constraints?</w:t>
            </w:r>
          </w:p>
        </w:tc>
        <w:tc>
          <w:tcPr>
            <w:tcW w:type="dxa" w:w="2500"/>
            <w:vAlign w:val="center"/>
          </w:tcPr>
          <w:p>
            <w:pPr>
              <w:spacing w:after="0"/>
            </w:pPr>
            <w:r>
              <w:rPr>
                <w:rFonts w:ascii="Calibri" w:hAnsi="Calibri"/>
                <w:sz w:val="18"/>
              </w:rPr>
              <w:t>Transparency, capacity and distribution must be designed together</w:t>
            </w:r>
          </w:p>
        </w:tc>
        <w:tc>
          <w:tcPr>
            <w:tcW w:type="dxa" w:w="2460"/>
            <w:vAlign w:val="center"/>
          </w:tcPr>
          <w:p>
            <w:pPr>
              <w:spacing w:after="0"/>
            </w:pPr>
            <w:r>
              <w:rPr>
                <w:rFonts w:ascii="Calibri" w:hAnsi="Calibri"/>
                <w:sz w:val="18"/>
              </w:rPr>
              <w:t>Product architecture and commercial viability</w:t>
            </w:r>
          </w:p>
        </w:tc>
      </w:tr>
      <w:tr>
        <w:tc>
          <w:tcPr>
            <w:tcW w:type="dxa" w:w="1900"/>
            <w:vAlign w:val="center"/>
          </w:tcPr>
          <w:p>
            <w:pPr>
              <w:spacing w:after="0"/>
            </w:pPr>
            <w:r>
              <w:rPr>
                <w:rFonts w:ascii="Calibri" w:hAnsi="Calibri"/>
                <w:sz w:val="18"/>
              </w:rPr>
              <w:t>Logistics IPO</w:t>
            </w:r>
          </w:p>
        </w:tc>
        <w:tc>
          <w:tcPr>
            <w:tcW w:type="dxa" w:w="2500"/>
            <w:vAlign w:val="center"/>
          </w:tcPr>
          <w:p>
            <w:pPr>
              <w:spacing w:after="0"/>
            </w:pPr>
            <w:r>
              <w:rPr>
                <w:rFonts w:ascii="Calibri" w:hAnsi="Calibri"/>
                <w:sz w:val="18"/>
              </w:rPr>
              <w:t>How can fundamentals become a financeable equity proposition?</w:t>
            </w:r>
          </w:p>
        </w:tc>
        <w:tc>
          <w:tcPr>
            <w:tcW w:type="dxa" w:w="2500"/>
            <w:vAlign w:val="center"/>
          </w:tcPr>
          <w:p>
            <w:pPr>
              <w:spacing w:after="0"/>
            </w:pPr>
            <w:r>
              <w:rPr>
                <w:rFonts w:ascii="Calibri" w:hAnsi="Calibri"/>
                <w:sz w:val="18"/>
              </w:rPr>
              <w:t>Equity story, valuation and investor targeting must align</w:t>
            </w:r>
          </w:p>
        </w:tc>
        <w:tc>
          <w:tcPr>
            <w:tcW w:type="dxa" w:w="2460"/>
            <w:vAlign w:val="center"/>
          </w:tcPr>
          <w:p>
            <w:pPr>
              <w:spacing w:after="0"/>
            </w:pPr>
            <w:r>
              <w:rPr>
                <w:rFonts w:ascii="Calibri" w:hAnsi="Calibri"/>
                <w:sz w:val="18"/>
              </w:rPr>
              <w:t>Client objective, pricing and placement</w:t>
            </w:r>
          </w:p>
        </w:tc>
      </w:tr>
    </w:tbl>
    <w:p>
      <w:r>
        <w:br w:type="page"/>
      </w:r>
    </w:p>
    <w:p>
      <w:pPr>
        <w:pStyle w:val="Heading1"/>
      </w:pPr>
      <w:r>
        <w:t>1. Cross-Border Leveraged Product Rebalancing</w:t>
      </w:r>
    </w:p>
    <w:p>
      <w:pPr>
        <w:spacing w:after="200"/>
      </w:pPr>
      <w:r>
        <w:rPr>
          <w:rFonts w:ascii="Calibri" w:hAnsi="Calibri"/>
          <w:i/>
          <w:color w:val="5C6370"/>
          <w:sz w:val="22"/>
        </w:rPr>
        <w:t>Market structure, hedging mechanics and empirical discipline</w:t>
      </w:r>
    </w:p>
    <w:p>
      <w:pPr>
        <w:pStyle w:val="Heading2"/>
      </w:pPr>
      <w:r>
        <w:t>Walkthrough</w:t>
      </w:r>
    </w:p>
    <w:p>
      <w:pPr>
        <w:pStyle w:val="Answer"/>
        <w:keepLines w:val="0"/>
      </w:pPr>
      <w:r>
        <w:t>At CSOP, I studied whether the daily reset of a cross-border leveraged product could create material closing pressure in its underlying stock. I used a two-times leveraged product on SK Hynix as the case study. Because the product obtains exposure through total-return swaps rather than holding the shares directly, I first reconstructed the prospectus mechanics and estimated the daily notional adjustment. The key identity was that the rebalance amount equals approximately two times prior-day NAV times the underlying return, so an up day requires additional exposure and a down day requires exposure to be reduced. I then normalized that estimated flow against SK Hynix's closing-period turnover to create an impact ratio. In a strict treatment-control sample, extreme-move days produced an average impact ratio of roughly 127%, versus about 16% on quiet days. However, the direction of the rebalance matched the closing-period price move only around half the time, and the broader sensitivity test had near-zero explanatory power. My conclusion was therefore disciplined: the potential hedge flow could be large relative to visible liquidity, but the sample did not prove a measurable linear or directional price impact. The practical recommendation was closer monitoring as product scale and market concentration increased.</w:t>
      </w:r>
    </w:p>
    <w:p>
      <w:pPr>
        <w:pStyle w:val="WordCount"/>
      </w:pPr>
      <w:r>
        <w:t>Word count: 199</w:t>
      </w:r>
    </w:p>
    <w:p>
      <w:pPr>
        <w:pStyle w:val="Heading2"/>
      </w:pPr>
      <w:r>
        <w:t>Evidence Bank</w:t>
      </w:r>
    </w:p>
    <w:p>
      <w:pPr>
        <w:pStyle w:val="GuideBullet"/>
      </w:pPr>
      <w:r>
        <w:t>Case: CSOP 7709, a synthetic 2x daily leveraged product on SK Hynix.</w:t>
      </w:r>
    </w:p>
    <w:p>
      <w:pPr>
        <w:pStyle w:val="GuideBullet"/>
      </w:pPr>
      <w:r>
        <w:t>Mechanism: potential swap-counterparty hedge adjustment near the KRX close; the trades themselves were not directly observed.</w:t>
      </w:r>
    </w:p>
    <w:p>
      <w:pPr>
        <w:pStyle w:val="GuideBullet"/>
      </w:pPr>
      <w:r>
        <w:t>Strict sample: six extreme days versus six quiet control days; average impact ratio approximately 127% versus 16%.</w:t>
      </w:r>
    </w:p>
    <w:p>
      <w:pPr>
        <w:pStyle w:val="GuideBullet"/>
      </w:pPr>
      <w:r>
        <w:t>Robustness extension: 30-day workbook, 27 days with usable closing-candle data; R-squared approximately 0.005.</w:t>
      </w:r>
    </w:p>
    <w:p>
      <w:pPr>
        <w:pStyle w:val="GuideBullet"/>
      </w:pPr>
      <w:r>
        <w:t>Safe conclusion: material potential flow, but no demonstrated causal or directional price impact.</w:t>
      </w:r>
    </w:p>
    <w:p>
      <w:pPr>
        <w:pStyle w:val="Heading2"/>
      </w:pPr>
      <w:r>
        <w:t>Likely Follow-Ups</w:t>
      </w:r>
    </w:p>
    <w:p>
      <w:pPr>
        <w:pStyle w:val="Heading3"/>
      </w:pPr>
      <w:r>
        <w:t>1. How did you derive the rebalance formula?</w:t>
      </w:r>
    </w:p>
    <w:p>
      <w:pPr>
        <w:pStyle w:val="Answer"/>
        <w:keepLines w:val="0"/>
      </w:pPr>
      <w:r>
        <w:t>I started from the prospectus rather than assuming a rule of thumb. Let prior-day NAV be N, target leverage be two, and the underlying daily return be r. Opening notional exposure is 2N. After the underlying moves, the product's P&amp;L is 2Nr, so closing NAV becomes N plus 2Nr. To restore two-times leverage, target closing exposure is 2N plus 4Nr. The existing notional, after moving with the underlying, is 2N plus 2Nr. The difference is therefore 2Nr. That identity explains the pro-cyclical direction: a positive return requires the product to add exposure, while a negative return requires it to reduce exposure. I treated this as the required swap-notional adjustment. Any corresponding stock hedge by counterparties was a plausible transmission channel, not an observed trade.</w:t>
      </w:r>
    </w:p>
    <w:p>
      <w:pPr>
        <w:pStyle w:val="WordCount"/>
      </w:pPr>
      <w:r>
        <w:t>Word count: 125</w:t>
      </w:r>
    </w:p>
    <w:p>
      <w:pPr>
        <w:pStyle w:val="Heading3"/>
      </w:pPr>
      <w:r>
        <w:t>2. What data did you use, and how did you make the comparison fair?</w:t>
      </w:r>
    </w:p>
    <w:p>
      <w:pPr>
        <w:pStyle w:val="Answer"/>
        <w:keepLines w:val="0"/>
      </w:pPr>
      <w:r>
        <w:t>I combined three data blocks: official product AUM or NAV announcements, SK Hynix daily closes, and intraday KRX price and volume bars for the closing period. I converted closing-period turnover into U.S. dollars using the relevant FX assumption, then divided the absolute estimated rebalance by that turnover. This impact ratio was more informative than the dollar amount alone because market liquidity varied materially across days. For the initial design, I separated days with an absolute underlying return above 7% from quiet days below 2%, using six observations in each group. That gave me a treatment-control comparison rather than a collection of dramatic examples. I also extended the work into a broader 30-day sensitivity study, while clearly distinguishing that robustness exercise from the cleaner extreme-versus-quiet specification.</w:t>
      </w:r>
    </w:p>
    <w:p>
      <w:pPr>
        <w:pStyle w:val="WordCount"/>
      </w:pPr>
      <w:r>
        <w:t>Word count: 126</w:t>
      </w:r>
    </w:p>
    <w:p>
      <w:pPr>
        <w:pStyle w:val="Heading3"/>
      </w:pPr>
      <w:r>
        <w:t>3. What was the most important result?</w:t>
      </w:r>
    </w:p>
    <w:p>
      <w:pPr>
        <w:pStyle w:val="Answer"/>
        <w:keepLines w:val="0"/>
      </w:pPr>
      <w:r>
        <w:t>The surprising result was the gap between mechanical size and observed price evidence. In the strict sample, the average estimated rebalance was about 127% of closing-period turnover on extreme days, compared with roughly 16% on quiet days. That sounds large enough to matter. However, the rebalance direction aligned with the closing-period price direction in only about half of the cases. In the broader workbook, the relationship between impact ratio and absolute closing-period price movement had an R-squared of roughly 0.005. I therefore did not conclude that the product caused closing volatility. A better interpretation was that the market may anticipate and absorb predictable flow, or that the relevant hedging is distributed across time and instruments. The risk signal was still useful because a large ratio identifies days when liquidity deserves closer monitoring.</w:t>
      </w:r>
    </w:p>
    <w:p>
      <w:pPr>
        <w:pStyle w:val="WordCount"/>
      </w:pPr>
      <w:r>
        <w:t>Word count: 133</w:t>
      </w:r>
    </w:p>
    <w:p>
      <w:pPr>
        <w:pStyle w:val="Heading3"/>
      </w:pPr>
      <w:r>
        <w:t>4. Why could you not claim causality?</w:t>
      </w:r>
    </w:p>
    <w:p>
      <w:pPr>
        <w:pStyle w:val="Answer"/>
        <w:keepLines w:val="0"/>
      </w:pPr>
      <w:r>
        <w:t>There were several identification problems. First, extreme underlying returns usually coincide with company news, sector momentum or broader risk-on and risk-off moves, all of which can independently affect the close. Second, I estimated the required swap-notional adjustment but did not observe how each counterparty actually hedged. A bank could pre-hedge, internalize client flow, use futures or options, or trade outside the final bar. Third, the sample was small and the closing window was only a proxy for execution timing. Finally, product AUM and FX inputs introduced measurement assumptions. The control group and sensitivity work reduced the risk of storytelling from one event, but they did not create a clean instrument or natural experiment. My wording was therefore that I tested whether market impact was detectable and identified conditions where potential hedging pressure was material, not that I proved the product moved the stock.</w:t>
      </w:r>
    </w:p>
    <w:p>
      <w:pPr>
        <w:pStyle w:val="WordCount"/>
      </w:pPr>
      <w:r>
        <w:t>Word count: 143</w:t>
      </w:r>
    </w:p>
    <w:p>
      <w:pPr>
        <w:pStyle w:val="Heading3"/>
      </w:pPr>
      <w:r>
        <w:t>5. How would a swap counterparty manage the exposure in practice?</w:t>
      </w:r>
    </w:p>
    <w:p>
      <w:pPr>
        <w:pStyle w:val="Answer"/>
        <w:keepLines w:val="0"/>
      </w:pPr>
      <w:r>
        <w:t>The product receives two-times daily exposure through total-return swaps. Economically, the counterparty pays the underlying return and therefore needs to manage the resulting delta and financing risk. The simplest hedge is stock, but the bank could also use futures, options, internal inventory or offsetting client flows. Because the leverage resets daily, a positive underlying return increases the product's NAV sensitivity and creates a need for more notional exposure; a negative return does the opposite. Importantly, the bank does not have to wait until the closing auction. If the reset rule is predictable, it can hedge progressively, pre-position liquidity or cross the exposure internally. That is one reason a mechanically large end-of-day adjustment may not create an equally large visible price move. In an interview, I would describe this as potential hedge demand rather than a known stock order.</w:t>
      </w:r>
    </w:p>
    <w:p>
      <w:pPr>
        <w:pStyle w:val="WordCount"/>
      </w:pPr>
      <w:r>
        <w:t>Word count: 138</w:t>
      </w:r>
    </w:p>
    <w:p>
      <w:pPr>
        <w:pStyle w:val="Heading3"/>
      </w:pPr>
      <w:r>
        <w:t>6. What would you improve, and why is this relevant to Structuring?</w:t>
      </w:r>
    </w:p>
    <w:p>
      <w:pPr>
        <w:pStyle w:val="Answer"/>
        <w:keepLines w:val="0"/>
      </w:pPr>
      <w:r>
        <w:t>I would improve the study in three ways. First, I would obtain higher-frequency data and test several execution windows rather than one fixed closing bar. Second, I would add stronger controls for company announcements, index moves, volatility and Korean market-wide order imbalance. Third, I would broaden the sample across products and underlyings, ideally around exogenous AUM changes or launch dates. The structuring relevance is that product design cannot stop at payoff construction. A structurer also needs to understand how leverage resets, liquidity, hedging capacity and investor scale interact after launch. My study translated a prospectus formula into a risk-monitoring question and showed why a product can be mechanically correct while still creating market-capacity concerns. That combination of payoff mechanics, empirical testing and cautious interpretation is the way I would approach new investor products.</w:t>
      </w:r>
    </w:p>
    <w:p>
      <w:pPr>
        <w:pStyle w:val="WordCount"/>
      </w:pPr>
      <w:r>
        <w:t>Word count: 133</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pPr>
              <w:spacing w:after="0"/>
            </w:pPr>
            <w:r>
              <w:rPr>
                <w:rFonts w:ascii="Calibri" w:hAnsi="Calibri"/>
                <w:b/>
                <w:color w:val="1F4D78"/>
              </w:rPr>
              <w:t xml:space="preserve">Do not say: </w:t>
            </w:r>
            <w:r>
              <w:rPr>
                <w:rFonts w:ascii="Calibri" w:hAnsi="Calibri"/>
                <w:color w:val="0B2545"/>
                <w:sz w:val="20"/>
              </w:rPr>
              <w:t>'The ETF caused SK Hynix to move at the close.' Say that the study estimated a potential transmission mechanism and found insufficient evidence of a measurable impact.</w:t>
            </w:r>
          </w:p>
        </w:tc>
      </w:tr>
    </w:tbl>
    <w:p>
      <w:pPr>
        <w:spacing w:after="0"/>
      </w:pPr>
    </w:p>
    <w:p>
      <w:r>
        <w:br w:type="page"/>
      </w:r>
    </w:p>
    <w:p>
      <w:pPr>
        <w:pStyle w:val="Heading1"/>
      </w:pPr>
      <w:r>
        <w:t>2. Active ETF Product Strategy</w:t>
      </w:r>
    </w:p>
    <w:p>
      <w:pPr>
        <w:spacing w:after="200"/>
      </w:pPr>
      <w:r>
        <w:rPr>
          <w:rFonts w:ascii="Calibri" w:hAnsi="Calibri"/>
          <w:i/>
          <w:color w:val="5C6370"/>
          <w:sz w:val="22"/>
        </w:rPr>
        <w:t>Regulation, transparency, scalability and distribution</w:t>
      </w:r>
    </w:p>
    <w:p>
      <w:pPr>
        <w:pStyle w:val="Heading2"/>
      </w:pPr>
      <w:r>
        <w:t>Walkthrough</w:t>
      </w:r>
    </w:p>
    <w:p>
      <w:pPr>
        <w:pStyle w:val="Answer"/>
        <w:keepLines w:val="0"/>
      </w:pPr>
      <w:r>
        <w:t>At CSOP, I supported a study on how active ETFs could be positioned under Mainland China's regulatory framework. I began by mapping the Shanghai Stock Exchange requirements on manager eligibility, portfolio diversification, liquidity, turnover, naming and daily portfolio disclosure. I then compared that framework with the U.S. market's development from transparent active ETFs to semi-transparent structures and mutual-fund conversions. The commercial question was not simply whether active management could generate alpha. It was which strategies could scale inside an ETF wrapper without creating excessive capacity, disclosure or trading frictions. The U.S. evidence showed a market of roughly US$1.5 trillion by May 2026, with active products already exceeding passive ETFs by number, and the leading funds were heavily held through investment advisers. I translated those observations into product decisions: favor strategies that can tolerate daily PCF disclosure, offer clear differentiation from index enhancement and traditional mutual funds, and solve a real investor need for intraday liquidity or lower-cost access. I also highlighted that distribution and investor education had to be designed alongside the product, not after launch. My contribution was a decision framework for product, investment, Capital Markets and distribution teams rather than a descriptive market-comparison deck.</w:t>
      </w:r>
    </w:p>
    <w:p>
      <w:pPr>
        <w:pStyle w:val="WordCount"/>
      </w:pPr>
      <w:r>
        <w:t>Word count: 200</w:t>
      </w:r>
    </w:p>
    <w:p>
      <w:pPr>
        <w:pStyle w:val="Heading2"/>
      </w:pPr>
      <w:r>
        <w:t>Evidence Bank</w:t>
      </w:r>
    </w:p>
    <w:p>
      <w:pPr>
        <w:pStyle w:val="GuideBullet"/>
      </w:pPr>
      <w:r>
        <w:t>Mainland structure: fully transparent with daily PCF disclosure and explicit portfolio/liquidity constraints.</w:t>
      </w:r>
    </w:p>
    <w:p>
      <w:pPr>
        <w:pStyle w:val="GuideBullet"/>
      </w:pPr>
      <w:r>
        <w:t>Portfolio rules highlighted in the deck: at least 30 securities; top ten positions capped at 60% of NAV; liquidity, capacity, turnover and style-stability tests.</w:t>
      </w:r>
    </w:p>
    <w:p>
      <w:pPr>
        <w:pStyle w:val="GuideBullet"/>
      </w:pPr>
      <w:r>
        <w:t>U.S. reference point: about 3,019 active ETFs and approximately US$1.51 trillion of assets by May 2026.</w:t>
      </w:r>
    </w:p>
    <w:p>
      <w:pPr>
        <w:pStyle w:val="GuideBullet"/>
      </w:pPr>
      <w:r>
        <w:t>Holder signal: investment advisers represented approximately 74% of the leading products on a scale-weighted basis.</w:t>
      </w:r>
    </w:p>
    <w:p>
      <w:pPr>
        <w:pStyle w:val="GuideBullet"/>
      </w:pPr>
      <w:r>
        <w:t>Safe ownership language: supported strategy and framed decision questions; did not own or launch a product.</w:t>
      </w:r>
    </w:p>
    <w:p>
      <w:pPr>
        <w:pStyle w:val="Heading2"/>
      </w:pPr>
      <w:r>
        <w:t>Likely Follow-Ups</w:t>
      </w:r>
    </w:p>
    <w:p>
      <w:pPr>
        <w:pStyle w:val="Heading3"/>
      </w:pPr>
      <w:r>
        <w:t>1. Which Mainland regulatory constraints mattered most?</w:t>
      </w:r>
    </w:p>
    <w:p>
      <w:pPr>
        <w:pStyle w:val="Answer"/>
        <w:keepLines w:val="0"/>
      </w:pPr>
      <w:r>
        <w:t>I grouped the constraints into eligibility, portfolio construction and disclosure. On eligibility, the exchange set a high bar for the manager and portfolio manager, including relevant operating history, stable governance, systems and investment experience. On portfolio construction, the deck highlighted diversification and tradability: at least 30 holdings, a 60% cap for the top ten positions, liquidity and market-capacity requirements, reasonable turnover and stable investment style. The product also has to identify itself as active in its name. The most important design constraint was full transparency. The manager must publish the creation and redemption basket each trading day and support intraday IOPV disclosure. That improves arbitrage and tradability, but it can expose positions and trading intent. Therefore, not every successful active mutual-fund strategy is suitable for an ETF wrapper under the current rules.</w:t>
      </w:r>
    </w:p>
    <w:p>
      <w:pPr>
        <w:pStyle w:val="WordCount"/>
      </w:pPr>
      <w:r>
        <w:t>Word count: 132</w:t>
      </w:r>
    </w:p>
    <w:p>
      <w:pPr>
        <w:pStyle w:val="Heading3"/>
      </w:pPr>
      <w:r>
        <w:t>2. How did you think about transparency versus strategy leakage?</w:t>
      </w:r>
    </w:p>
    <w:p>
      <w:pPr>
        <w:pStyle w:val="Answer"/>
        <w:keepLines w:val="0"/>
      </w:pPr>
      <w:r>
        <w:t>Daily transparency is valuable because market makers and authorized participants can price the basket more confidently, which supports tighter spreads and a more reliable arbitrage mechanism. The trade-off is that other investors can observe positions and potentially infer changes in the manager's view. That matters most for concentrated, low-liquidity or high-turnover strategies, where front-running and market impact can dilute alpha. My recommendation was not to treat transparency as a simple compliance issue. It should be a strategy-selection filter. A broad, liquid and relatively low-turnover portfolio is more compatible with daily PCF disclosure than a concentrated small-cap or event-driven book. The U.S. semi-transparent structures were useful as a precedent, but Mainland rules required a fully transparent starting point. Product design therefore had to work within that constraint rather than assume the U.S. solution could be copied directly.</w:t>
      </w:r>
    </w:p>
    <w:p>
      <w:pPr>
        <w:pStyle w:val="WordCount"/>
      </w:pPr>
      <w:r>
        <w:t>Word count: 138</w:t>
      </w:r>
    </w:p>
    <w:p>
      <w:pPr>
        <w:pStyle w:val="Heading3"/>
      </w:pPr>
      <w:r>
        <w:t>3. What types of strategies would you prioritize?</w:t>
      </w:r>
    </w:p>
    <w:p>
      <w:pPr>
        <w:pStyle w:val="Answer"/>
        <w:keepLines w:val="0"/>
      </w:pPr>
      <w:r>
        <w:t>I would prioritize strategies with scalable capacity, liquid holdings, explainable sources of excess return and moderate turnover. Broad core equity, dividend or quality strategies, factor rotation, and selected fixed-income or income-oriented products are more natural starting points than concentrated thematic or small-cap strategies. The product also needs a clear reason to exist in ETF form. For example, intraday liquidity, lower fees, portfolio transparency and ease of asset allocation can be meaningful advantages for advisers and institutional allocators. I would avoid launching a product whose only message is that it is an active version of an existing fund. The proposition should explain how it differs from index enhancement, why the strategy can survive daily disclosure, and which investor workflow it improves. Finally, I would test whether expected seed assets and secondary-market activity are sufficient to support efficient trading from launch.</w:t>
      </w:r>
    </w:p>
    <w:p>
      <w:pPr>
        <w:pStyle w:val="WordCount"/>
      </w:pPr>
      <w:r>
        <w:t>Word count: 139</w:t>
      </w:r>
    </w:p>
    <w:p>
      <w:pPr>
        <w:pStyle w:val="Heading3"/>
      </w:pPr>
      <w:r>
        <w:t>4. Who is the target investor, and what did the U.S. holder data tell you?</w:t>
      </w:r>
    </w:p>
    <w:p>
      <w:pPr>
        <w:pStyle w:val="Answer"/>
        <w:keepLines w:val="0"/>
      </w:pPr>
      <w:r>
        <w:t>The holder analysis showed that investment advisers represented roughly 74% of the leading U.S. active ETFs on a scale-weighted basis. I interpreted that as a distribution lesson rather than proof that the same percentage would apply in China. Advisers value products that can be placed into model portfolios, rebalanced efficiently and explained through a repeatable allocation framework. For the Mainland market, potential users could include wealth-management channels, institutional allocators and sophisticated retail investors, but each group needs a different proposition. Institutions may focus on capacity, tracking against a benchmark and execution quality; advisers need portfolio-use cases and education; retail investors need a simple explanation of why they are paying for active management. The implication was that channel strategy, sales training and investor education should be designed during product development, because product architecture and distribution fit are interdependent.</w:t>
      </w:r>
    </w:p>
    <w:p>
      <w:pPr>
        <w:pStyle w:val="WordCount"/>
      </w:pPr>
      <w:r>
        <w:t>Word count: 138</w:t>
      </w:r>
    </w:p>
    <w:p>
      <w:pPr>
        <w:pStyle w:val="Heading3"/>
      </w:pPr>
      <w:r>
        <w:t>5. How would you evaluate liquidity and market-making readiness?</w:t>
      </w:r>
    </w:p>
    <w:p>
      <w:pPr>
        <w:pStyle w:val="Answer"/>
        <w:keepLines w:val="0"/>
      </w:pPr>
      <w:r>
        <w:t>I would separate underlying liquidity from screen liquidity. The first question is whether the portfolio can be created, redeemed and rebalanced without excessive market impact, especially under stressed conditions. The second is whether authorized participants and market makers have enough information, inventory and economic incentive to quote competitive spreads. Daily PCF disclosure and IOPV support price discovery, but they do not guarantee a liquid product. I would review expected seed size, basket concentration, average daily volume, creation-unit economics, hedging instruments, primary-market turnaround and the likely investor trading pattern. I would also stress-test large subscriptions and redemptions and identify names that could become capacity bottlenecks. A good active ETF design aligns the investment strategy with Capital Markets execution; otherwise, strong alpha on paper can be offset by poor tradability, wide spreads or unreliable arbitrage.</w:t>
      </w:r>
    </w:p>
    <w:p>
      <w:pPr>
        <w:pStyle w:val="WordCount"/>
      </w:pPr>
      <w:r>
        <w:t>Word count: 133</w:t>
      </w:r>
    </w:p>
    <w:p>
      <w:pPr>
        <w:pStyle w:val="Heading3"/>
      </w:pPr>
      <w:r>
        <w:t>6. What exactly did you own, and what was your recommendation?</w:t>
      </w:r>
    </w:p>
    <w:p>
      <w:pPr>
        <w:pStyle w:val="Answer"/>
        <w:keepLines w:val="0"/>
      </w:pPr>
      <w:r>
        <w:t>My role was strategy support, not product ownership. I mapped the Mainland rule set, researched U.S. regulatory and product precedents, analyzed product mix and holder composition, and converted the findings into design questions for the relevant teams. I did not claim to choose the final fund manager, secure approvals or manage the launch workstream. My recommendation was a staged screening framework. First, eliminate strategies that cannot tolerate daily disclosure or do not have sufficient capacity. Second, test whether the ETF wrapper creates a clear investor benefit relative to an index-enhancement fund or traditional mutual fund. Third, validate seed demand, market-making readiness, fee economics and channel ownership. The output helped move the discussion from 'active ETFs are growing' to 'which strategy, for which investor, under which execution constraints, would be commercially and operationally viable.'</w:t>
      </w:r>
    </w:p>
    <w:p>
      <w:pPr>
        <w:pStyle w:val="WordCount"/>
      </w:pPr>
      <w:r>
        <w:t>Word count: 134</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pPr>
              <w:spacing w:after="0"/>
            </w:pPr>
            <w:r>
              <w:rPr>
                <w:rFonts w:ascii="Calibri" w:hAnsi="Calibri"/>
                <w:b/>
                <w:color w:val="1F4D78"/>
              </w:rPr>
              <w:t xml:space="preserve">Do not say: </w:t>
            </w:r>
            <w:r>
              <w:rPr>
                <w:rFonts w:ascii="Calibri" w:hAnsi="Calibri"/>
                <w:color w:val="0B2545"/>
                <w:sz w:val="20"/>
              </w:rPr>
              <w:t>'I launched an active ETF.' Say that you supported strategy by translating regulation and overseas precedents into a decision framework.</w:t>
            </w:r>
          </w:p>
        </w:tc>
      </w:tr>
    </w:tbl>
    <w:p>
      <w:pPr>
        <w:spacing w:after="0"/>
      </w:pPr>
    </w:p>
    <w:p>
      <w:r>
        <w:br w:type="page"/>
      </w:r>
    </w:p>
    <w:p>
      <w:pPr>
        <w:pStyle w:val="Heading1"/>
      </w:pPr>
      <w:r>
        <w:t>3. DBS Logistics IPO Origination</w:t>
      </w:r>
    </w:p>
    <w:p>
      <w:pPr>
        <w:spacing w:after="200"/>
      </w:pPr>
      <w:r>
        <w:rPr>
          <w:rFonts w:ascii="Calibri" w:hAnsi="Calibri"/>
          <w:i/>
          <w:color w:val="5C6370"/>
          <w:sz w:val="22"/>
        </w:rPr>
        <w:t>Equity story, valuation triangulation and investor relevance</w:t>
      </w:r>
    </w:p>
    <w:p>
      <w:pPr>
        <w:pStyle w:val="Heading2"/>
      </w:pPr>
      <w:r>
        <w:t>Walkthrough</w:t>
      </w:r>
    </w:p>
    <w:p>
      <w:pPr>
        <w:pStyle w:val="Answer"/>
        <w:keepLines w:val="0"/>
      </w:pPr>
      <w:r>
        <w:t>At DBS Asia Capital, I supported an origination pitch for a potential Hong Kong IPO in the logistics sector, working with the Corporate Banking team. The objective was to convert the client's operating profile into an investable equity story and an evidence-based valuation range. I organized the narrative around three questions: why the market was attractive, why the company was differentiated, and how the financial profile could support public-market valuation. The themes included its pan-Asian footprint, exposure to e-commerce and ASEAN growth, technology-enabled supply-chain capabilities, strategic shareholder support, and improving operating efficiency. I then refreshed the comparable-company analysis across regional logistics operators and selected global peers, separating business models rather than relying on one broad peer set. I also built and reviewed a DCF with bear, base and bull cases, using revenue growth, EBIT-margin progression, working-capital needs, WACC and terminal growth as the main sensitivities, and cross-checked the result with exit and trading multiples. Finally, I worked with the Private Banking team on potential strategic and upstream or downstream investors. My contribution was connecting company fundamentals, valuation and investor appetite into a coherent financing proposition, while leaving final client advice and execution decisions to senior bankers.</w:t>
      </w:r>
    </w:p>
    <w:p>
      <w:pPr>
        <w:pStyle w:val="WordCount"/>
      </w:pPr>
      <w:r>
        <w:t>Word count: 196</w:t>
      </w:r>
    </w:p>
    <w:p>
      <w:pPr>
        <w:pStyle w:val="Heading2"/>
      </w:pPr>
      <w:r>
        <w:t>Evidence Bank</w:t>
      </w:r>
    </w:p>
    <w:p>
      <w:pPr>
        <w:pStyle w:val="GuideBullet"/>
      </w:pPr>
      <w:r>
        <w:t>Confidentiality rule: describe the company as a potential logistics IPO client; do not volunteer the client name or internal valuation range.</w:t>
      </w:r>
    </w:p>
    <w:p>
      <w:pPr>
        <w:pStyle w:val="GuideBullet"/>
      </w:pPr>
      <w:r>
        <w:t>Equity-story pillars: pan-Asian footprint, e-commerce and ASEAN growth, digital supply-chain capabilities, strategic shareholder support, and margin progression.</w:t>
      </w:r>
    </w:p>
    <w:p>
      <w:pPr>
        <w:pStyle w:val="GuideBullet"/>
      </w:pPr>
      <w:r>
        <w:t>Valuation: regional and global trading comps plus a scenario-based DCF and exit-multiple cross-check.</w:t>
      </w:r>
    </w:p>
    <w:p>
      <w:pPr>
        <w:pStyle w:val="GuideBullet"/>
      </w:pPr>
      <w:r>
        <w:t>Deep-dive assumptions in the working model: approximately 9.8% WACC, 2.0% terminal growth and 7.0x exit EV/EBITDA cross-check; use only if confidentiality permits.</w:t>
      </w:r>
    </w:p>
    <w:p>
      <w:pPr>
        <w:pStyle w:val="GuideBullet"/>
      </w:pPr>
      <w:r>
        <w:t>Safe ownership language: prepared and refreshed analysis with the team; senior bankers owned the client recommendation.</w:t>
      </w:r>
    </w:p>
    <w:p>
      <w:pPr>
        <w:pStyle w:val="Heading2"/>
      </w:pPr>
      <w:r>
        <w:t>Likely Follow-Ups</w:t>
      </w:r>
    </w:p>
    <w:p>
      <w:pPr>
        <w:pStyle w:val="Heading3"/>
      </w:pPr>
      <w:r>
        <w:t>1. What exactly did you do on the pitch?</w:t>
      </w:r>
    </w:p>
    <w:p>
      <w:pPr>
        <w:pStyle w:val="Answer"/>
        <w:keepLines w:val="0"/>
      </w:pPr>
      <w:r>
        <w:t>I supported three linked workstreams. First, I helped refine the equity story by organizing the client's regional footprint, e-commerce exposure, technology capabilities and operating track record into a public-markets narrative. Second, I refreshed the valuation analysis. I reviewed the peer set, updated operating and trading metrics, calculated relevant medians and built a DCF with scenario and sensitivity analysis. Third, I helped investor targeting by coordinating with the Private Banking team to identify strategic and value-chain investors who could understand the business beyond a generic logistics label. I did not lead the client meeting or set the final valuation range. My role was to make the analysis internally consistent and presentation-ready so senior bankers could discuss positioning, valuation trade-offs and potential investor interest with the Corporate Banking team and the client.</w:t>
      </w:r>
    </w:p>
    <w:p>
      <w:pPr>
        <w:pStyle w:val="WordCount"/>
      </w:pPr>
      <w:r>
        <w:t>Word count: 130</w:t>
      </w:r>
    </w:p>
    <w:p>
      <w:pPr>
        <w:pStyle w:val="Heading3"/>
      </w:pPr>
      <w:r>
        <w:t>2. What was the proposed equity story?</w:t>
      </w:r>
    </w:p>
    <w:p>
      <w:pPr>
        <w:pStyle w:val="Answer"/>
        <w:keepLines w:val="0"/>
      </w:pPr>
      <w:r>
        <w:t>The story had five pillars. First, the company had a scaled pan-Asian logistics footprint, giving it exposure to regional trade and consumption growth. Second, e-commerce penetration in China and Southeast Asia supported structural volume growth. Third, its warehouse, transport and supply-chain analytics capabilities created a technology and service-quality angle rather than a pure commodity logistics story. Fourth, strategic shareholders provided network access, credibility and potential expansion support. Fifth, the historical financial profile showed revenue growth and improving operating efficiency, which supported the case for margin progression. I tried to avoid presenting macro tailwinds as sufficient on their own. The stronger argument was that the company's network, customer relationships and digital capabilities positioned it to convert those tailwinds into profitable growth. For public investors, the key was linking strategic claims to measurable financial drivers.</w:t>
      </w:r>
    </w:p>
    <w:p>
      <w:pPr>
        <w:pStyle w:val="WordCount"/>
      </w:pPr>
      <w:r>
        <w:t>Word count: 133</w:t>
      </w:r>
    </w:p>
    <w:p>
      <w:pPr>
        <w:pStyle w:val="Heading3"/>
      </w:pPr>
      <w:r>
        <w:t>3. How did you select the comparable companies?</w:t>
      </w:r>
    </w:p>
    <w:p>
      <w:pPr>
        <w:pStyle w:val="Answer"/>
        <w:keepLines w:val="0"/>
      </w:pPr>
      <w:r>
        <w:t>I avoided using one undifferentiated peer group because logistics companies vary widely in asset intensity, geography and service mix. I separated closer regional logistics operators from broader international companies and reviewed exposure to China and ASEAN, contract logistics versus express delivery, freight forwarding, margins, growth and scale. The most relevant multiples were P/E, EV/EBITDA and, as a secondary check, EV/Sales where profitability differed materially. I focused on medians rather than averages because the peer set contained outliers and different business models. I also checked whether a premium or discount could be justified by growth, margin quality, geographic concentration and customer or execution risk. The purpose of comps was not to produce one mechanical answer; it was to anchor market expectations and explain why the client should trade closer to one subset of peers than another.</w:t>
      </w:r>
    </w:p>
    <w:p>
      <w:pPr>
        <w:pStyle w:val="WordCount"/>
      </w:pPr>
      <w:r>
        <w:t>Word count: 138</w:t>
      </w:r>
    </w:p>
    <w:p>
      <w:pPr>
        <w:pStyle w:val="Heading3"/>
      </w:pPr>
      <w:r>
        <w:t>4. Walk me through the DCF and the key sensitivities.</w:t>
      </w:r>
    </w:p>
    <w:p>
      <w:pPr>
        <w:pStyle w:val="Answer"/>
        <w:keepLines w:val="0"/>
      </w:pPr>
      <w:r>
        <w:t>I projected revenue, EBIT, taxes, depreciation and amortization, capital expenditure and working-capital investment to derive unlevered free cash flow. The base case assumed a gradual normalization in growth and margin improvement rather than an immediate step change. I discounted the cash flows using a WACC derived from the risk-free rate, equity risk premium, beta, capital structure and after-tax cost of debt. The working model used a WACC of roughly 9.8% and a 2% terminal growth rate, with bear and bull cases around operating assumptions. I cross-checked the perpetuity-growth result with an exit EV/EBITDA approach and reviewed the share-price sensitivity across WACC and terminal-growth combinations. The largest valuation sensitivities were margin realization and terminal assumptions, so I would present the result as a range and triangulate it with trading multiples rather than defend one point estimate.</w:t>
      </w:r>
    </w:p>
    <w:p>
      <w:pPr>
        <w:pStyle w:val="WordCount"/>
      </w:pPr>
      <w:r>
        <w:t>Word count: 137</w:t>
      </w:r>
    </w:p>
    <w:p>
      <w:pPr>
        <w:pStyle w:val="Heading3"/>
      </w:pPr>
      <w:r>
        <w:t>5. How did investor targeting change the pitch?</w:t>
      </w:r>
    </w:p>
    <w:p>
      <w:pPr>
        <w:pStyle w:val="Answer"/>
        <w:keepLines w:val="0"/>
      </w:pPr>
      <w:r>
        <w:t>Investor targeting made the story more specific. A generalist public-markets investor might focus on earnings growth, margin progression, valuation and free cash flow. A strategic investor could care more about network synergies, geographic entry, technology, customer access or upstream and downstream integration. Working with the Private Banking team helped us think about which family offices, entrepreneurs or strategic counterparties could understand those industrial links. That influenced which parts of the story needed more evidence. For example, a strategic investor would want to know whether the regional network or digital platform created a defensible operating advantage, not simply that Asian e-commerce was growing. I supported the mapping and analysis, while relationship ownership remained with the relevant bankers. The broader lesson was that a financing solution is stronger when valuation, messaging and investor selection reinforce one another.</w:t>
      </w:r>
    </w:p>
    <w:p>
      <w:pPr>
        <w:pStyle w:val="WordCount"/>
      </w:pPr>
      <w:r>
        <w:t>Word count: 135</w:t>
      </w:r>
    </w:p>
    <w:p>
      <w:pPr>
        <w:pStyle w:val="Heading3"/>
      </w:pPr>
      <w:r>
        <w:t>6. What was the hardest judgment, and how does it relate to Structuring &amp; Origination?</w:t>
      </w:r>
    </w:p>
    <w:p>
      <w:pPr>
        <w:pStyle w:val="Answer"/>
        <w:keepLines w:val="0"/>
      </w:pPr>
      <w:r>
        <w:t>The hardest judgment was balancing an attractive growth narrative with a defensible valuation. The company benefited from strong themes, but macro growth alone did not justify applying the highest peer multiple. I had to separate structural tailwinds from company-specific proof, normalize different peer business models and show how margin and cash-flow assumptions affected valuation. That is relevant to Structuring &amp; Origination because the job sits between client objectives, market capacity and investor demand. A solution cannot be technically elegant but commercially unplaceable, nor can it rely on a strong story without disciplined economics. This project taught me to begin with the client's financing objective, translate the business into risks and cash flows, test the result against market comparables, and then identify the investors most likely to value the proposition. That is the origination mindset I would bring to S&amp;O.</w:t>
      </w:r>
    </w:p>
    <w:p>
      <w:pPr>
        <w:pStyle w:val="WordCount"/>
      </w:pPr>
      <w:r>
        <w:t>Word count: 139</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pPr>
              <w:spacing w:after="0"/>
            </w:pPr>
            <w:r>
              <w:rPr>
                <w:rFonts w:ascii="Calibri" w:hAnsi="Calibri"/>
                <w:b/>
                <w:color w:val="1F4D78"/>
              </w:rPr>
              <w:t xml:space="preserve">Do not say: </w:t>
            </w:r>
            <w:r>
              <w:rPr>
                <w:rFonts w:ascii="Calibri" w:hAnsi="Calibri"/>
                <w:color w:val="0B2545"/>
                <w:sz w:val="20"/>
              </w:rPr>
              <w:t>the client name, a confidential valuation range, or that you led the client recommendation. Keep the example anonymized and ownership precise.</w:t>
            </w:r>
          </w:p>
        </w:tc>
      </w:tr>
    </w:tbl>
    <w:p>
      <w:pPr>
        <w:spacing w:after="0"/>
      </w:pPr>
    </w:p>
    <w:p>
      <w:r>
        <w:br w:type="page"/>
      </w:r>
    </w:p>
    <w:p>
      <w:pPr>
        <w:pStyle w:val="Heading1"/>
      </w:pPr>
      <w:r>
        <w:t>Closing Answer: Why Structuring &amp; Origination?</w:t>
      </w:r>
    </w:p>
    <w:p>
      <w:pPr>
        <w:pStyle w:val="Answer"/>
        <w:keepLines w:val="0"/>
      </w:pPr>
      <w:r>
        <w:t>These three experiences are why Structuring &amp; Origination is my first-choice track. The leveraged-product study taught me to start from payoff mechanics, translate a prospectus formula into a hedge and liquidity question, and remain disciplined when the empirical result did not prove causality. The active ETF project showed me that product design is a multi-variable problem: investment strategy, transparency, capacity, market making, fees and distribution all have to work together. The DBS origination pitch added the client and financing perspective by linking company fundamentals, valuation and investor appetite. Across the three projects, the common thread is that I enjoy sitting between analysis and execution. I do not only want to form a market view; I want to turn a client's objective into a structure that can be priced, hedged, explained and placed. I also understand that good structuring requires judgment about second-order effects and constraints, not just a model. That combination of quantitative analysis, product thinking and client-oriented problem solving is what attracts me to the S&amp;O track.</w:t>
      </w:r>
    </w:p>
    <w:p>
      <w:pPr>
        <w:pStyle w:val="WordCount"/>
      </w:pPr>
      <w:r>
        <w:t>Word count: 168</w:t>
      </w:r>
    </w:p>
    <w:p>
      <w:pPr>
        <w:pStyle w:val="Heading2"/>
      </w:pPr>
      <w:r>
        <w:t>Delivery Checklist</w:t>
      </w:r>
    </w:p>
    <w:p>
      <w:pPr>
        <w:pStyle w:val="GuideBullet"/>
      </w:pPr>
      <w:r>
        <w:t>Walkthrough structure: context -&gt; question -&gt; method -&gt; result -&gt; commercial implication.</w:t>
      </w:r>
    </w:p>
    <w:p>
      <w:pPr>
        <w:pStyle w:val="GuideBullet"/>
      </w:pPr>
      <w:r>
        <w:t>Target timing: 75-90 seconds for each walkthrough; 45-60 seconds for each follow-up.</w:t>
      </w:r>
    </w:p>
    <w:p>
      <w:pPr>
        <w:pStyle w:val="GuideBullet"/>
      </w:pPr>
      <w:r>
        <w:t>Pause after the headline result and let the interviewer choose the technical depth.</w:t>
      </w:r>
    </w:p>
    <w:p>
      <w:pPr>
        <w:pStyle w:val="GuideBullet"/>
      </w:pPr>
      <w:r>
        <w:t>State one limitation before the interviewer has to challenge you on it.</w:t>
      </w:r>
    </w:p>
    <w:p>
      <w:pPr>
        <w:pStyle w:val="GuideBullet"/>
      </w:pPr>
      <w:r>
        <w:t>End every answer with why the analysis changed a decision, monitoring framework or client proposition.</w:t>
      </w:r>
    </w:p>
    <w:p>
      <w:pPr>
        <w:pStyle w:val="Heading2"/>
      </w:pPr>
      <w:r>
        <w:t>Source Materials Reviewed</w:t>
      </w:r>
    </w:p>
    <w:p>
      <w:pPr>
        <w:pStyle w:val="GuideBullet"/>
      </w:pPr>
      <w:r>
        <w:t>CSOP_7709_Daily_Rebalance_Impact_Study - Instruction Prompt for AI Execution.docx</w:t>
      </w:r>
    </w:p>
    <w:p>
      <w:pPr>
        <w:pStyle w:val="GuideBullet"/>
      </w:pPr>
      <w:r>
        <w:t>CSOP_7709_Rebalance_23Jun2026.xlsx</w:t>
      </w:r>
    </w:p>
    <w:p>
      <w:pPr>
        <w:pStyle w:val="GuideBullet"/>
      </w:pPr>
      <w:r>
        <w:t>CSOP_7709_Rebalance_MultiDate (2).xlsx</w:t>
      </w:r>
    </w:p>
    <w:p>
      <w:pPr>
        <w:pStyle w:val="GuideBullet"/>
      </w:pPr>
      <w:r>
        <w:t>CSOP_7709_Rebalance_Study_30Days (1).xlsx</w:t>
      </w:r>
    </w:p>
    <w:p>
      <w:pPr>
        <w:pStyle w:val="GuideBullet"/>
      </w:pPr>
      <w:r>
        <w:t>Mainland Active ETF strategy deck (June 2026)</w:t>
      </w:r>
    </w:p>
    <w:p>
      <w:pPr>
        <w:pStyle w:val="GuideBullet"/>
      </w:pPr>
      <w:r>
        <w:t>Logistics IPO - Equity Story and Valuation deck</w:t>
      </w:r>
    </w:p>
    <w:p>
      <w:pPr>
        <w:pStyle w:val="GuideBullet"/>
      </w:pPr>
      <w:r>
        <w:t>Logistics IPO pitch comps workbook (June 2026) and DCF working model (April 2026)</w:t>
      </w:r>
    </w:p>
    <w:p>
      <w:pPr>
        <w:pStyle w:val="GuideBullet"/>
      </w:pPr>
      <w:r>
        <w:t>CV_Jayson_2027 Summer.pdf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C6370"/>
        <w:sz w:val="18"/>
      </w:rPr>
      <w:t xml:space="preserve">Jayson Lu  |  </w:t>
    </w:r>
    <w:r>
      <w:rPr>
        <w:rFonts w:ascii="Calibri" w:hAnsi="Calibri"/>
        <w:color w:val="5C63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C6370"/>
        <w:sz w:val="17"/>
      </w:rPr>
      <w:t>J.P. Morgan Markets | Structuring &amp; Origination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basedOn w:val="Normal"/>
    <w:pPr>
      <w:spacing w:after="80" w:line="293" w:lineRule="auto"/>
    </w:pPr>
    <w:rPr>
      <w:rFonts w:ascii="Calibri" w:hAnsi="Calibri"/>
      <w:sz w:val="21"/>
    </w:rPr>
  </w:style>
  <w:style w:type="paragraph" w:customStyle="1" w:styleId="WordCount">
    <w:name w:val="Word Count"/>
    <w:basedOn w:val="Normal"/>
    <w:pPr>
      <w:keepNext w:val="0"/>
      <w:spacing w:after="160"/>
    </w:pPr>
    <w:rPr>
      <w:rFonts w:ascii="Calibri" w:hAnsi="Calibri"/>
      <w:i/>
      <w:color w:val="5C6370"/>
      <w:sz w:val="17"/>
    </w:rPr>
  </w:style>
  <w:style w:type="paragraph" w:customStyle="1" w:styleId="Note">
    <w:name w:val="Note"/>
    <w:basedOn w:val="Normal"/>
    <w:pPr>
      <w:spacing w:before="100" w:after="160" w:line="283" w:lineRule="auto"/>
      <w:ind w:left="259" w:right="173"/>
    </w:pPr>
    <w:rPr>
      <w:rFonts w:ascii="Calibri" w:hAnsi="Calibri"/>
      <w:color w:val="0B2545"/>
      <w:sz w:val="20"/>
    </w:rPr>
  </w:style>
  <w:style w:type="paragraph" w:customStyle="1" w:styleId="GuideBullet">
    <w:name w:val="Guide Bullet"/>
    <w:basedOn w:val="ListBullet"/>
    <w:pPr>
      <w:spacing w:after="80" w:line="300" w:lineRule="auto"/>
      <w:ind w:left="540" w:hanging="271"/>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