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d4ed8"/>
          <w:sz w:val="40"/>
          <w:szCs w:val="40"/>
        </w:rPr>
        <w:t xml:space="preserve">Trader Performance vs. Market Sentiment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An analysis of Hyperliquid trading activity against the Bitcoin Fear &amp; Greed Index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report analyzes 211,224 trades across 32 accounts on Hyperliquid between May 2023 and May 2025, joined against the daily Bitcoin Fear &amp; Greed Index. The objective was to uncover how trader behavior and profitability shift with market sentiment, and to translate those patterns into actionable trading-strategy guidance.</w:t>
      </w:r>
    </w:p>
    <w:p>
      <w:pPr>
        <w:spacing w:after="150"/>
      </w:pPr>
      <w:r>
        <w:t xml:space="preserve">Three findings stand out: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Capital efficiency and win rate are both highest during Extreme Greed (4.68% PnL-per-dollar-traded, 89.1% win rate) — not Extreme Fear as conventional “be fearful when others are greedy” wisdom might predict.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Fear regimes generate the largest pool of trading activity and total profit ($3.36M realized PnL, $240M volume), even though per-trade efficiency is more modest — fear is where the market is busiest, not necessarily where it is most profitable per unit of capital.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Skilled traders (top 5 accounts by PnL) pull further ahead of the rest of the cohort specifically during Greed and Extreme Greed, while the average account's edge compresses — suggesting euphoric markets reward selective skill and punish the crowd.</w:t>
      </w:r>
    </w:p>
    <w:p>
      <w:pPr>
        <w:pStyle w:val="Heading1"/>
        <w:spacing w:after="150" w:before="300"/>
      </w:pPr>
      <w:r>
        <w:t xml:space="preserve">2. Data &amp; Methodology</w:t>
      </w:r>
    </w:p>
    <w:p>
      <w:pPr>
        <w:spacing w:after="150"/>
      </w:pPr>
      <w:r>
        <w:t xml:space="preserve">Two datasets were merged on calendar date: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Historical Trader Data (Hyperliquid): 211,224 order-level records — account, coin, execution price, size, side, direction, closed PnL, fees, timestamps.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Bitcoin Fear &amp; Greed Index: daily sentiment score (0-100) and classification (Extreme Fear → Extreme Greed).</w:t>
      </w:r>
    </w:p>
    <w:p>
      <w:pPr>
        <w:spacing w:after="150"/>
      </w:pPr>
      <w:r>
        <w:t xml:space="preserve">100% of trades matched to a sentiment day (May 2023 – May 2025). Realized-PnL analysis uses only closing events (Close Long, Close Short, Sell, and related exit types) since opening trades carry zero PnL by construction — 104,408 of 211,224 records. Position-sizing and directional-bias analysis uses the 89,636 position-opening events (Open Long / Open Short).</w:t>
      </w:r>
    </w:p>
    <w:p>
      <w:pPr>
        <w:pStyle w:val="Heading1"/>
        <w:spacing w:after="150" w:before="300"/>
      </w:pPr>
      <w:r>
        <w:t xml:space="preserve">3. Performance by Market Sentiment</w:t>
      </w:r>
    </w:p>
    <w:p>
      <w:pPr>
        <w:spacing w:after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1. Total realized PnL is highest during Fear, driven by trading volume rather than per-trade edge.</w:t>
      </w:r>
    </w:p>
    <w:p>
      <w:pPr>
        <w:spacing w:after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2. Win rate rises steadily as sentiment moves toward Greed and peaks in Extreme Greed.</w:t>
      </w:r>
    </w:p>
    <w:p>
      <w:pPr>
        <w:spacing w:after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3. Capital efficiency (realized PnL per dollar traded) is markedly higher in Extreme Greed than any other regime.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600"/>
        <w:gridCol w:w="1200"/>
        <w:gridCol w:w="1800"/>
      </w:tblGrid>
      <w:tr>
        <w:tc>
          <w:tcPr>
            <w:tcW w:type="dxa" w:w="18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2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4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PnL</w:t>
            </w:r>
          </w:p>
        </w:tc>
        <w:tc>
          <w:tcPr>
            <w:tcW w:type="dxa" w:w="16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PnL/Trade</w:t>
            </w:r>
          </w:p>
        </w:tc>
        <w:tc>
          <w:tcPr>
            <w:tcW w:type="dxa" w:w="12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10,411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$739K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$70.99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76.2%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$56.9M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Fear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29,877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$3.36M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$112.37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87.1%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$239.7M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18,216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$1.29M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$70.98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82.1%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$100.9M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Greed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25,355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$2.15M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$84.80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76.3%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$138.7M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20,865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$2.72M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$130.13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89.1%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$58.0M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4. Positioning Behavior</w:t>
      </w:r>
    </w:p>
    <w:p>
      <w:pPr>
        <w:spacing w:after="20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4. Traders flip from a long bias in Fear (68.8% long during Extreme Fear) to a short bias in Greed (57.7% short).</w:t>
      </w:r>
    </w:p>
    <w:p>
      <w:pPr>
        <w:spacing w:after="150"/>
      </w:pPr>
      <w:r>
        <w:t xml:space="preserve">This is classic contrarian-leaning behavior — buying into weakness, fading strength. Yet the sentiment regime where this cohort is most net-short (Greed / Extreme Greed) is also where win rates and efficiency are strongest, implying the short bias is not simply a losing habit here; a meaningful share of these accounts appear to be successfully trading momentum reversals or hedging into rallies rather than blindly fading them.</w:t>
      </w:r>
    </w:p>
    <w:p>
      <w:pPr>
        <w:pStyle w:val="Heading1"/>
        <w:spacing w:after="150" w:before="300"/>
      </w:pPr>
      <w:r>
        <w:t xml:space="preserve">5. Skilled vs. Average Traders</w:t>
      </w:r>
    </w:p>
    <w:p>
      <w:pPr>
        <w:spacing w:after="200"/>
        <w:jc w:val="center"/>
      </w:pPr>
      <w:r>
        <w:drawing>
          <wp:inline distT="0" distB="0" distL="0" distR="0">
            <wp:extent cx="54292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5. The top-5 accounts' advantage over the rest of the cohort widens sharply in Greed and Extreme Greed.</w:t>
      </w:r>
    </w:p>
    <w:p>
      <w:pPr>
        <w:spacing w:after="150"/>
      </w:pPr>
      <w:r>
        <w:t xml:space="preserve">In Neutral markets the gap between the top 5 accounts and everyone else is smallest ($103.69 vs. $34.73 avg PnL/trade). In Extreme Greed the gap is largest by far ($272.81 vs. $77.03). This pattern suggests euphoric markets are where trading skill (entry timing, sizing, exit discipline) is most differentiating — and where less experienced accounts are most exposed.</w:t>
      </w:r>
    </w:p>
    <w:p>
      <w:pPr>
        <w:pStyle w:val="Heading1"/>
        <w:spacing w:after="150" w:before="300"/>
      </w:pPr>
      <w:r>
        <w:t xml:space="preserve">6. PnL vs. Sentiment Over Time</w:t>
      </w:r>
    </w:p>
    <w:p>
      <w:pPr>
        <w:spacing w:after="20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b7280"/>
          <w:sz w:val="18"/>
          <w:szCs w:val="18"/>
        </w:rPr>
        <w:t xml:space="preserve">Figure 6. 7-day rolling average of daily realized PnL (blue, left axis) plotted against the Fear &amp; Greed Index (red, right axis).</w:t>
      </w:r>
    </w:p>
    <w:p>
      <w:pPr>
        <w:pStyle w:val="Heading1"/>
        <w:spacing w:after="150" w:before="300"/>
      </w:pPr>
      <w:r>
        <w:t xml:space="preserve">7. Actionable Insights for Trading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Lean in during Extreme Greed, don't just fade it. This dataset's most capital-efficient and highest win-rate trading happens in Extreme Greed. A pure contrarian “sell euphoria” rule would have missed the best risk-adjusted regime in the sample.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Fear as a volume opportunity, not necessarily an edge opportunity. Fear produces the most trades and the largest total profit pool, but the lowest capital efficiency alongside Extreme Fear — sizing and selectivity matter more than raw activity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tighter risk controls for average accounts specifically in Greed/Extreme Greed. Since the performance gap between skilled and average traders widens most in these regimes, this is where retail-style accounts are most likely to get out-traded — a candidate signal for dynamic leverage/position limits.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 Neutral regimes for choppiness. Neutral has the lowest avg PnL per trade despite a respectable win rate, consistent with smaller, indecisive price moves — a case for reduced position sizing or wider profit targets rather than frequent scalping.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 risk: BTC, HYPE, SOL and ETH account for the large majority of volume; sentiment-based strategies should be validated coin-by-coin since the Fear &amp; Greed Index is a BTC/market-wide signal and may not track altcoin-specific sentiment.</w:t>
      </w:r>
    </w:p>
    <w:p>
      <w:pPr>
        <w:pStyle w:val="Heading1"/>
        <w:spacing w:after="150" w:before="30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PnL reflects only realized (closed) trades; open positions at the end of the sample are not marked-to-market.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account equity or margin data was available, so true leverage could not be computed — position size in USD was used as a proxy for risk appetite.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Fear &amp; Greed Index is a market-wide (largely BTC-driven) sentiment measure; it is applied here as a daily macro backdrop rather than an asset-specific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Results are drawn from 32 accounts, which limits statistical generalization to the broader trader population.</w:t>
      </w:r>
    </w:p>
    <w:p>
      <w:pPr>
        <w:pStyle w:val="Heading1"/>
        <w:spacing w:after="150" w:before="300"/>
      </w:pPr>
      <w:r>
        <w:t xml:space="preserve">Appendix: Top / Bottom Performing Accounts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2000"/>
        <w:gridCol w:w="1900"/>
      </w:tblGrid>
      <w:tr>
        <w:tc>
          <w:tcPr>
            <w:tcW w:type="dxa" w:w="36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 (truncated)</w:t>
            </w:r>
          </w:p>
        </w:tc>
        <w:tc>
          <w:tcPr>
            <w:tcW w:type="dxa" w:w="15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20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PnL</w:t>
            </w:r>
          </w:p>
        </w:tc>
        <w:tc>
          <w:tcPr>
            <w:tcW w:type="dxa" w:w="1900"/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0xb1231a4a...bfed23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6,531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$2.14M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76.1%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0x083384f8...52a9012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1,732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$1.60M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79.3%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0xbaaaf657...10637864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9,997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$940K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99.1%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0x513b8629...249c4ff1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5,515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$840K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89.0%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0xbee1707d...45437aab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22,556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$836K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76.3%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ead009b57acacf5aba98118f0e377238431530.png"/><Relationship Id="rId8" Type="http://schemas.openxmlformats.org/officeDocument/2006/relationships/image" Target="media/1a07cf5ec33bf2a4d64a7bfdb47a9d710bea719b.png"/><Relationship Id="rId9" Type="http://schemas.openxmlformats.org/officeDocument/2006/relationships/image" Target="media/f0c88a6386a1b0491e4643c54b5853054c359eb7.png"/><Relationship Id="rId10" Type="http://schemas.openxmlformats.org/officeDocument/2006/relationships/image" Target="media/7fe0c4f391f0d2a3980b5ecf5dd466df89aba7cc.png"/><Relationship Id="rId11" Type="http://schemas.openxmlformats.org/officeDocument/2006/relationships/image" Target="media/4b60ea8cb64bfab6707a90ae64f869640a5fe024.png"/><Relationship Id="rId12" Type="http://schemas.openxmlformats.org/officeDocument/2006/relationships/image" Target="media/1973355d95a855170bb6d8bbb7197ccc03c069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2026-07-04T03:49:42.979Z</dcterms:created>
  <dcterms:modified xsi:type="dcterms:W3CDTF">2026-07-04T03:49:42.979Z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