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E7C86"/>
          <w:spacing w:val="40"/>
          <w:sz w:val="18"/>
          <w:szCs w:val="18"/>
        </w:rPr>
        <w:t xml:space="preserve">HEALTHCARE PLANNING  ·  MICROSOFT FABRIC</w:t>
      </w:r>
    </w:p>
    <w:p>
      <w:pPr>
        <w:spacing w:after="200" w:before="120" w:line="360" w:lineRule="atLeast"/>
      </w:pPr>
      <w:r>
        <w:rPr>
          <w:rFonts w:ascii="Calibri" w:cs="Calibri" w:eastAsia="Calibri" w:hAnsi="Calibri"/>
          <w:b/>
          <w:bCs/>
          <w:color w:val="0B2540"/>
          <w:sz w:val="64"/>
          <w:szCs w:val="64"/>
        </w:rPr>
        <w:t xml:space="preserve">Budget Patients, Not Dollars</w:t>
      </w:r>
    </w:p>
    <w:p>
      <w:pPr>
        <w:spacing w:after="360" w:line="320"/>
      </w:pPr>
      <w:r>
        <w:rPr>
          <w:rFonts w:ascii="Calibri" w:cs="Calibri" w:eastAsia="Calibri" w:hAnsi="Calibri"/>
          <w:color w:val="5B6B7B"/>
          <w:sz w:val="28"/>
          <w:szCs w:val="28"/>
        </w:rPr>
        <w:t xml:space="preserve">How driver-based planning in Microsoft Fabric turns patient demand into staffing, labor cost and capacity decisions that leaders can test before they commit.</w:t>
      </w:r>
    </w:p>
    <w:p>
      <w:pPr>
        <w:pBdr>
          <w:bottom w:val="single" w:color="0E7C86" w:sz="8" w:space="8"/>
        </w:pBdr>
        <w:spacing w:after="360"/>
      </w:pPr>
      <w:r>
        <w:rPr>
          <w:rFonts w:ascii="Calibri" w:cs="Calibri" w:eastAsia="Calibri" w:hAnsi="Calibri"/>
          <w:color w:val="5B6B7B"/>
          <w:sz w:val="19"/>
          <w:szCs w:val="19"/>
        </w:rPr>
        <w:t xml:space="preserve">October 2026</w:t>
      </w:r>
      <w:r>
        <w:rPr>
          <w:rFonts w:ascii="Calibri" w:cs="Calibri" w:eastAsia="Calibri" w:hAnsi="Calibri"/>
          <w:color w:val="D5DDE5"/>
          <w:sz w:val="19"/>
          <w:szCs w:val="19"/>
        </w:rPr>
        <w:t xml:space="preserve">   ·   </w:t>
      </w:r>
      <w:r>
        <w:rPr>
          <w:rFonts w:ascii="Calibri" w:cs="Calibri" w:eastAsia="Calibri" w:hAnsi="Calibri"/>
          <w:color w:val="5B6B7B"/>
          <w:sz w:val="19"/>
          <w:szCs w:val="19"/>
        </w:rPr>
        <w:t xml:space="preserve">Reading time: about 10 minutes</w:t>
      </w:r>
    </w:p>
    <w:p>
      <w:pPr>
        <w:pStyle w:val="Heading1"/>
        <w:spacing w:after="160" w:before="480"/>
      </w:pPr>
      <w:r>
        <w:rPr>
          <w:rFonts w:ascii="Calibri" w:cs="Calibri" w:eastAsia="Calibri" w:hAnsi="Calibri"/>
          <w:color w:val="0E7C86"/>
        </w:rPr>
        <w:t xml:space="preserve"/>
      </w:r>
      <w:r>
        <w:rPr>
          <w:rFonts w:ascii="Calibri" w:cs="Calibri" w:eastAsia="Calibri" w:hAnsi="Calibri"/>
        </w:rPr>
        <w:t xml:space="preserve">Executive summary</w:t>
      </w:r>
    </w:p>
    <w:p>
      <w:pPr>
        <w:spacing w:after="160" w:line="300"/>
      </w:pPr>
      <w:r>
        <w:rPr>
          <w:rFonts w:ascii="Calibri" w:cs="Calibri" w:eastAsia="Calibri" w:hAnsi="Calibri"/>
        </w:rPr>
        <w:t xml:space="preserve">Most hospital budgets start from last year's spending. When costs run over, the explanation is usually "volume was up", and the conversation ends there. In practice, volume explains only part of the story. The rest comes from staffing intensity and premium labor rates, which have different owners and need different responses.</w:t>
      </w:r>
    </w:p>
    <w:p>
      <w:pPr>
        <w:spacing w:after="160" w:line="300"/>
      </w:pPr>
      <w:r>
        <w:rPr>
          <w:rFonts w:ascii="Calibri" w:cs="Calibri" w:eastAsia="Calibri" w:hAnsi="Calibri"/>
        </w:rPr>
        <w:t xml:space="preserve">This article walks through a driver-based alternative built in </w:t>
      </w:r>
      <w:r>
        <w:rPr>
          <w:rFonts w:ascii="Calibri" w:cs="Calibri" w:eastAsia="Calibri" w:hAnsi="Calibri"/>
          <w:b/>
          <w:bCs/>
          <w:color w:val="0B2540"/>
        </w:rPr>
        <w:t xml:space="preserve">Planning in Fabric IQ</w:t>
      </w:r>
      <w:r>
        <w:rPr>
          <w:rFonts w:ascii="Calibri" w:cs="Calibri" w:eastAsia="Calibri" w:hAnsi="Calibri"/>
        </w:rPr>
        <w:t xml:space="preserve">. Instead of budgeting dollars, the plan budgets patients. A forecast of patient days drives nursing hours, nursing hours drive paid FTEs, and FTEs drive labor cost. Every link is a simple, visible rule with a named owner.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c>
          <w:tcPr>
            <w:tcW w:type="dxa" w:w="2256"/>
            <w:tcBorders>
              <w:top w:val="none" w:color="FFFFFF" w:sz="0"/>
              <w:left w:val="none" w:color="FFFFFF" w:sz="0"/>
              <w:bottom w:val="none" w:color="FFFFFF" w:sz="0"/>
              <w:right w:val="single" w:color="FFFFFF" w:sz="6"/>
            </w:tcBorders>
            <w:shd w:fill="0B2540" w:color="auto" w:val="clear"/>
            <w:tcMar>
              <w:top w:type="dxa" w:w="220"/>
              <w:left w:type="dxa" w:w="200"/>
              <w:bottom w:type="dxa" w:w="220"/>
              <w:right w:type="dxa" w:w="160"/>
            </w:tcMar>
          </w:tcPr>
          <w:p>
            <w:pPr>
              <w:spacing w:after="40"/>
            </w:pPr>
            <w:r>
              <w:rPr>
                <w:rFonts w:ascii="Calibri" w:cs="Calibri" w:eastAsia="Calibri" w:hAnsi="Calibri"/>
                <w:b/>
                <w:bCs/>
                <w:color w:val="7FE3EC"/>
                <w:sz w:val="36"/>
                <w:szCs w:val="36"/>
              </w:rPr>
              <w:t xml:space="preserve">$51,295</w:t>
            </w:r>
          </w:p>
          <w:p>
            <w:r>
              <w:rPr>
                <w:rFonts w:ascii="Calibri" w:cs="Calibri" w:eastAsia="Calibri" w:hAnsi="Calibri"/>
                <w:color w:val="FFFFFF"/>
                <w:sz w:val="17"/>
                <w:szCs w:val="17"/>
              </w:rPr>
              <w:t xml:space="preserve">Q2 labor variance on one unit, split into three owned causes</w:t>
            </w:r>
          </w:p>
        </w:tc>
        <w:tc>
          <w:tcPr>
            <w:tcW w:type="dxa" w:w="2256"/>
            <w:tcBorders>
              <w:top w:val="none" w:color="FFFFFF" w:sz="0"/>
              <w:left w:val="none" w:color="FFFFFF" w:sz="0"/>
              <w:bottom w:val="none" w:color="FFFFFF" w:sz="0"/>
              <w:right w:val="single" w:color="FFFFFF" w:sz="6"/>
            </w:tcBorders>
            <w:shd w:fill="0B2540" w:color="auto" w:val="clear"/>
            <w:tcMar>
              <w:top w:type="dxa" w:w="220"/>
              <w:left w:type="dxa" w:w="200"/>
              <w:bottom w:type="dxa" w:w="220"/>
              <w:right w:type="dxa" w:w="160"/>
            </w:tcMar>
          </w:tcPr>
          <w:p>
            <w:pPr>
              <w:spacing w:after="40"/>
            </w:pPr>
            <w:r>
              <w:rPr>
                <w:rFonts w:ascii="Calibri" w:cs="Calibri" w:eastAsia="Calibri" w:hAnsi="Calibri"/>
                <w:b/>
                <w:bCs/>
                <w:color w:val="7FE3EC"/>
                <w:sz w:val="36"/>
                <w:szCs w:val="36"/>
              </w:rPr>
              <w:t xml:space="preserve">94,180</w:t>
            </w:r>
          </w:p>
          <w:p>
            <w:r>
              <w:rPr>
                <w:rFonts w:ascii="Calibri" w:cs="Calibri" w:eastAsia="Calibri" w:hAnsi="Calibri"/>
                <w:color w:val="FFFFFF"/>
                <w:sz w:val="17"/>
                <w:szCs w:val="17"/>
              </w:rPr>
              <w:t xml:space="preserve">patient days forecast for 2027 across 11 inpatient units</w:t>
            </w:r>
          </w:p>
        </w:tc>
        <w:tc>
          <w:tcPr>
            <w:tcW w:type="dxa" w:w="2256"/>
            <w:tcBorders>
              <w:top w:val="none" w:color="FFFFFF" w:sz="0"/>
              <w:left w:val="none" w:color="FFFFFF" w:sz="0"/>
              <w:bottom w:val="none" w:color="FFFFFF" w:sz="0"/>
              <w:right w:val="single" w:color="FFFFFF" w:sz="6"/>
            </w:tcBorders>
            <w:shd w:fill="0B2540" w:color="auto" w:val="clear"/>
            <w:tcMar>
              <w:top w:type="dxa" w:w="220"/>
              <w:left w:type="dxa" w:w="200"/>
              <w:bottom w:type="dxa" w:w="220"/>
              <w:right w:type="dxa" w:w="160"/>
            </w:tcMar>
          </w:tcPr>
          <w:p>
            <w:pPr>
              <w:spacing w:after="40"/>
            </w:pPr>
            <w:r>
              <w:rPr>
                <w:rFonts w:ascii="Calibri" w:cs="Calibri" w:eastAsia="Calibri" w:hAnsi="Calibri"/>
                <w:b/>
                <w:bCs/>
                <w:color w:val="7FE3EC"/>
                <w:sz w:val="36"/>
                <w:szCs w:val="36"/>
              </w:rPr>
              <w:t xml:space="preserve">≈$57.5M</w:t>
            </w:r>
          </w:p>
          <w:p>
            <w:r>
              <w:rPr>
                <w:rFonts w:ascii="Calibri" w:cs="Calibri" w:eastAsia="Calibri" w:hAnsi="Calibri"/>
                <w:color w:val="FFFFFF"/>
                <w:sz w:val="17"/>
                <w:szCs w:val="17"/>
              </w:rPr>
              <w:t xml:space="preserve">base-case 2027 direct-care labor cost</w:t>
            </w:r>
          </w:p>
        </w:tc>
        <w:tc>
          <w:tcPr>
            <w:tcW w:type="dxa" w:w="2258"/>
            <w:tcBorders>
              <w:top w:val="none" w:color="FFFFFF" w:sz="0"/>
              <w:left w:val="none" w:color="FFFFFF" w:sz="0"/>
              <w:bottom w:val="none" w:color="FFFFFF" w:sz="0"/>
              <w:right w:val="none" w:color="FFFFFF" w:sz="0"/>
            </w:tcBorders>
            <w:shd w:fill="0B2540" w:color="auto" w:val="clear"/>
            <w:tcMar>
              <w:top w:type="dxa" w:w="220"/>
              <w:left w:type="dxa" w:w="200"/>
              <w:bottom w:type="dxa" w:w="220"/>
              <w:right w:type="dxa" w:w="160"/>
            </w:tcMar>
          </w:tcPr>
          <w:p>
            <w:pPr>
              <w:spacing w:after="40"/>
            </w:pPr>
            <w:r>
              <w:rPr>
                <w:rFonts w:ascii="Calibri" w:cs="Calibri" w:eastAsia="Calibri" w:hAnsi="Calibri"/>
                <w:b/>
                <w:bCs/>
                <w:color w:val="7FE3EC"/>
                <w:sz w:val="36"/>
                <w:szCs w:val="36"/>
              </w:rPr>
              <w:t xml:space="preserve">122%</w:t>
            </w:r>
          </w:p>
          <w:p>
            <w:r>
              <w:rPr>
                <w:rFonts w:ascii="Calibri" w:cs="Calibri" w:eastAsia="Calibri" w:hAnsi="Calibri"/>
                <w:color w:val="FFFFFF"/>
                <w:sz w:val="17"/>
                <w:szCs w:val="17"/>
              </w:rPr>
              <w:t xml:space="preserve">peak occupancy on two units in a winter surge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86" w:sz="24"/>
              <w:bottom w:val="none" w:color="FFFFFF" w:sz="0"/>
              <w:right w:val="none" w:color="FFFFFF" w:sz="0"/>
            </w:tcBorders>
            <w:shd w:fill="EEF5F6" w:color="auto" w:val="clear"/>
            <w:tcMar>
              <w:top w:type="dxa" w:w="200"/>
              <w:left w:type="dxa" w:w="280"/>
              <w:bottom w:type="dxa" w:w="200"/>
              <w:right w:type="dxa" w:w="280"/>
            </w:tcMar>
          </w:tcPr>
          <w:p>
            <w:pPr>
              <w:spacing w:after="80"/>
            </w:pPr>
            <w:r>
              <w:rPr>
                <w:rFonts w:ascii="Calibri" w:cs="Calibri" w:eastAsia="Calibri" w:hAnsi="Calibri"/>
                <w:b/>
                <w:bCs/>
                <w:color w:val="0B2540"/>
                <w:sz w:val="24"/>
                <w:szCs w:val="24"/>
              </w:rPr>
              <w:t xml:space="preserve">Key takeaways for leadership</w:t>
            </w:r>
          </w:p>
          <w:p>
            <w:pPr>
              <w:spacing w:after="80" w:line="290"/>
            </w:pPr>
            <w:r>
              <w:rPr>
                <w:rFonts w:ascii="Calibri" w:cs="Calibri" w:eastAsia="Calibri" w:hAnsi="Calibri"/>
                <w:b/>
                <w:bCs/>
                <w:color w:val="0B2540"/>
              </w:rPr>
              <w:t xml:space="preserve">Variance becomes accountable.</w:t>
            </w:r>
            <w:r>
              <w:rPr>
                <w:rFonts w:ascii="Calibri" w:cs="Calibri" w:eastAsia="Calibri" w:hAnsi="Calibri"/>
              </w:rPr>
              <w:t xml:space="preserve"> Only 55% of one unit's overrun was higher census; 45% came from staffing and premium rates.</w:t>
            </w:r>
          </w:p>
          <w:p>
            <w:pPr>
              <w:spacing w:after="80" w:line="290"/>
            </w:pPr>
            <w:r>
              <w:rPr>
                <w:rFonts w:ascii="Calibri" w:cs="Calibri" w:eastAsia="Calibri" w:hAnsi="Calibri"/>
                <w:b/>
                <w:bCs/>
                <w:color w:val="0B2540"/>
              </w:rPr>
              <w:t xml:space="preserve">One model, one version of the truth.</w:t>
            </w:r>
            <w:r>
              <w:rPr>
                <w:rFonts w:ascii="Calibri" w:cs="Calibri" w:eastAsia="Calibri" w:hAnsi="Calibri"/>
              </w:rPr>
              <w:t xml:space="preserve"> Census, labor and finance work from the same data in one Fabric platform, with no exports or reconciliations.</w:t>
            </w:r>
          </w:p>
          <w:p>
            <w:pPr>
              <w:spacing w:after="80" w:line="290"/>
            </w:pPr>
            <w:r>
              <w:rPr>
                <w:rFonts w:ascii="Calibri" w:cs="Calibri" w:eastAsia="Calibri" w:hAnsi="Calibri"/>
                <w:b/>
                <w:bCs/>
                <w:color w:val="0B2540"/>
              </w:rPr>
              <w:t xml:space="preserve">Decisions are testable.</w:t>
            </w:r>
            <w:r>
              <w:rPr>
                <w:rFonts w:ascii="Calibri" w:cs="Calibri" w:eastAsia="Calibri" w:hAnsi="Calibri"/>
              </w:rPr>
              <w:t xml:space="preserve"> Changing a single driver recalculates hours, FTEs and cost across every scenario automatically.</w:t>
            </w:r>
          </w:p>
          <w:p>
            <w:pPr>
              <w:spacing w:after="0" w:line="290"/>
            </w:pPr>
            <w:r>
              <w:rPr>
                <w:rFonts w:ascii="Calibri" w:cs="Calibri" w:eastAsia="Calibri" w:hAnsi="Calibri"/>
                <w:b/>
                <w:bCs/>
                <w:color w:val="0B2540"/>
              </w:rPr>
              <w:t xml:space="preserve">Seasonality matters more than totals.</w:t>
            </w:r>
            <w:r>
              <w:rPr>
                <w:rFonts w:ascii="Calibri" w:cs="Calibri" w:eastAsia="Calibri" w:hAnsi="Calibri"/>
              </w:rPr>
              <w:t xml:space="preserve"> A surge that adds only 3.6% to annual volume would push four units beyond bed capacity in winter.</w:t>
            </w:r>
          </w:p>
        </w:tc>
      </w:tr>
    </w:tbl>
    <w:p>
      <w:pPr>
        <w:pStyle w:val="Heading1"/>
        <w:spacing w:after="160" w:before="480"/>
      </w:pPr>
      <w:r>
        <w:rPr>
          <w:rFonts w:ascii="Calibri" w:cs="Calibri" w:eastAsia="Calibri" w:hAnsi="Calibri"/>
          <w:color w:val="0E7C86"/>
        </w:rPr>
        <w:t xml:space="preserve">01  </w:t>
      </w:r>
      <w:r>
        <w:rPr>
          <w:rFonts w:ascii="Calibri" w:cs="Calibri" w:eastAsia="Calibri" w:hAnsi="Calibri"/>
        </w:rPr>
        <w:t xml:space="preserve">"Volume was up" explains only half the overrun</w:t>
      </w:r>
    </w:p>
    <w:p>
      <w:pPr>
        <w:keepNext/>
        <w:spacing w:after="160" w:line="300"/>
      </w:pPr>
      <w:r>
        <w:rPr>
          <w:rFonts w:ascii="Calibri" w:cs="Calibri" w:eastAsia="Calibri" w:hAnsi="Calibri"/>
        </w:rPr>
        <w:t xml:space="preserve">In Q2 2026, Med-Surg 3 West ran </w:t>
      </w:r>
      <w:r>
        <w:rPr>
          <w:rFonts w:ascii="Calibri" w:cs="Calibri" w:eastAsia="Calibri" w:hAnsi="Calibri"/>
          <w:b/>
          <w:bCs/>
          <w:color w:val="0B2540"/>
        </w:rPr>
        <w:t xml:space="preserve">$51,295</w:t>
      </w:r>
      <w:r>
        <w:rPr>
          <w:rFonts w:ascii="Calibri" w:cs="Calibri" w:eastAsia="Calibri" w:hAnsi="Calibri"/>
        </w:rPr>
        <w:t xml:space="preserve"> over its direct-care labor budget. A traditional review would attribute this to higher census and move on. A driver-based view splits the same variance into three causes, each with a clear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250"/>
        <w:gridCol w:w="900"/>
        <w:gridCol w:w="3576"/>
        <w:gridCol w:w="2000"/>
      </w:tblGrid>
      <w:tr>
        <w:trPr>
          <w:tblHeader/>
        </w:trPr>
        <w:tc>
          <w:tcPr>
            <w:tcW w:type="dxa" w:w="13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Driver</w:t>
            </w:r>
          </w:p>
        </w:tc>
        <w:tc>
          <w:tcPr>
            <w:tcW w:type="dxa" w:w="125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Variance</w:t>
            </w:r>
          </w:p>
        </w:tc>
        <w:tc>
          <w:tcPr>
            <w:tcW w:type="dxa" w:w="9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Share</w:t>
            </w:r>
          </w:p>
        </w:tc>
        <w:tc>
          <w:tcPr>
            <w:tcW w:type="dxa" w:w="357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What happened</w:t>
            </w:r>
          </w:p>
        </w:tc>
        <w:tc>
          <w:tcPr>
            <w:tcW w:type="dxa" w:w="20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Owner</w:t>
            </w:r>
          </w:p>
        </w:tc>
      </w:tr>
      <w:tr>
        <w:trPr>
          <w:cantSplit/>
        </w:trPr>
        <w:tc>
          <w:tcPr>
            <w:tcW w:type="dxa" w:w="13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color w:val="1F2933"/>
                <w:sz w:val="20"/>
                <w:szCs w:val="20"/>
              </w:rPr>
              <w:t xml:space="preserve">Volume</w:t>
            </w:r>
          </w:p>
        </w:tc>
        <w:tc>
          <w:tcPr>
            <w:tcW w:type="dxa" w:w="125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$28,328</w:t>
            </w:r>
          </w:p>
        </w:tc>
        <w:tc>
          <w:tcPr>
            <w:tcW w:type="dxa" w:w="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55%</w:t>
            </w:r>
          </w:p>
        </w:tc>
        <w:tc>
          <w:tcPr>
            <w:tcW w:type="dxa" w:w="357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28.3 patients a day vs 27.4 planned</w:t>
            </w:r>
          </w:p>
        </w:tc>
        <w:tc>
          <w:tcPr>
            <w:tcW w:type="dxa" w:w="20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Strategy &amp; access</w:t>
            </w:r>
          </w:p>
        </w:tc>
      </w:tr>
      <w:tr>
        <w:trPr>
          <w:cantSplit/>
        </w:trPr>
        <w:tc>
          <w:tcPr>
            <w:tcW w:type="dxa" w:w="13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color w:val="1F2933"/>
                <w:sz w:val="20"/>
                <w:szCs w:val="20"/>
              </w:rPr>
              <w:t xml:space="preserve">Staffing</w:t>
            </w:r>
          </w:p>
        </w:tc>
        <w:tc>
          <w:tcPr>
            <w:tcW w:type="dxa" w:w="125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$8,673</w:t>
            </w:r>
          </w:p>
        </w:tc>
        <w:tc>
          <w:tcPr>
            <w:tcW w:type="dxa" w:w="9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17%</w:t>
            </w:r>
          </w:p>
        </w:tc>
        <w:tc>
          <w:tcPr>
            <w:tcW w:type="dxa" w:w="357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8.58 hours per patient day vs 8.50 target</w:t>
            </w:r>
          </w:p>
        </w:tc>
        <w:tc>
          <w:tcPr>
            <w:tcW w:type="dxa" w:w="20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Nursing leadership</w:t>
            </w:r>
          </w:p>
        </w:tc>
      </w:tr>
      <w:tr>
        <w:trPr>
          <w:cantSplit/>
        </w:trPr>
        <w:tc>
          <w:tcPr>
            <w:tcW w:type="dxa" w:w="13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color w:val="1F2933"/>
                <w:sz w:val="20"/>
                <w:szCs w:val="20"/>
              </w:rPr>
              <w:t xml:space="preserve">Rate</w:t>
            </w:r>
          </w:p>
        </w:tc>
        <w:tc>
          <w:tcPr>
            <w:tcW w:type="dxa" w:w="125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$14,294</w:t>
            </w:r>
          </w:p>
        </w:tc>
        <w:tc>
          <w:tcPr>
            <w:tcW w:type="dxa" w:w="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28%</w:t>
            </w:r>
          </w:p>
        </w:tc>
        <w:tc>
          <w:tcPr>
            <w:tcW w:type="dxa" w:w="357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$42.83 per worked hour vs $42.19 (agency, overtime)</w:t>
            </w:r>
          </w:p>
        </w:tc>
        <w:tc>
          <w:tcPr>
            <w:tcW w:type="dxa" w:w="20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HR &amp; workforce</w:t>
            </w:r>
          </w:p>
        </w:tc>
      </w:tr>
      <w:tr>
        <w:trPr>
          <w:cantSplit/>
        </w:trPr>
        <w:tc>
          <w:tcPr>
            <w:tcW w:type="dxa" w:w="13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Total</w:t>
            </w:r>
          </w:p>
        </w:tc>
        <w:tc>
          <w:tcPr>
            <w:tcW w:type="dxa" w:w="125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bCs/>
                <w:color w:val="1F2933"/>
                <w:sz w:val="20"/>
                <w:szCs w:val="20"/>
              </w:rPr>
              <w:t xml:space="preserve">$51,295</w:t>
            </w:r>
          </w:p>
        </w:tc>
        <w:tc>
          <w:tcPr>
            <w:tcW w:type="dxa" w:w="9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bCs/>
                <w:color w:val="1F2933"/>
                <w:sz w:val="20"/>
                <w:szCs w:val="20"/>
              </w:rPr>
              <w:t xml:space="preserve">100%</w:t>
            </w:r>
          </w:p>
        </w:tc>
        <w:tc>
          <w:tcPr>
            <w:tcW w:type="dxa" w:w="357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
            </w:r>
          </w:p>
        </w:tc>
        <w:tc>
          <w:tcPr>
            <w:tcW w:type="dxa" w:w="20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
            </w:r>
          </w:p>
        </w:tc>
      </w:tr>
    </w:tbl>
    <w:p>
      <w:pPr>
        <w:spacing w:after="160"/>
      </w:pPr>
    </w:p>
    <w:p>
      <w:pPr>
        <w:spacing w:after="160" w:line="300"/>
      </w:pPr>
      <w:r>
        <w:rPr>
          <w:rFonts w:ascii="Calibri" w:cs="Calibri" w:eastAsia="Calibri" w:hAnsi="Calibri"/>
        </w:rPr>
        <w:t xml:space="preserve">The pattern repeats across the hospital. From January to August 2026, agency labor ran </w:t>
      </w:r>
      <w:r>
        <w:rPr>
          <w:rFonts w:ascii="Calibri" w:cs="Calibri" w:eastAsia="Calibri" w:hAnsi="Calibri"/>
          <w:b/>
          <w:bCs/>
          <w:color w:val="0B2540"/>
        </w:rPr>
        <w:t xml:space="preserve">$1.29M over budget, 66% above plan</w:t>
      </w:r>
      <w:r>
        <w:rPr>
          <w:rFonts w:ascii="Calibri" w:cs="Calibri" w:eastAsia="Calibri" w:hAnsi="Calibri"/>
        </w:rPr>
        <w:t xml:space="preserve">. Agency FTEs rose from 18.05 budgeted to 30.04 actual, and every unit finished above plan, led by Surgical Services, the ICU and the Emergency Department.</w:t>
      </w:r>
    </w:p>
    <w:p>
      <w:pPr>
        <w:keepNext/>
        <w:spacing w:after="60" w:before="240"/>
        <w:jc w:val="center"/>
      </w:pPr>
      <w:r>
        <w:drawing>
          <wp:inline distT="0" distB="0" distL="0" distR="0">
            <wp:extent cx="5715000" cy="1847850"/>
            <wp:effectExtent t="0" r="0" b="0" l="0"/>
            <wp:docPr id="1" name="Figure 1" descr="Agency FTE and cost by department, budget against actual, January to August 2026. Total agency cost rose from $1.94M budgeted to $3.23M actua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47850"/>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1. </w:t>
      </w:r>
      <w:r>
        <w:rPr>
          <w:rFonts w:ascii="Calibri" w:cs="Calibri" w:eastAsia="Calibri" w:hAnsi="Calibri"/>
          <w:i w:val="false"/>
          <w:iCs w:val="false"/>
          <w:color w:val="5B6B7B"/>
          <w:sz w:val="18"/>
          <w:szCs w:val="18"/>
        </w:rPr>
        <w:t xml:space="preserve">Agency FTE and cost by department, budget against actual, January to August 2026. Total agency cost rose from $1.94M budgeted to $3.23M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86" w:sz="24"/>
              <w:bottom w:val="none" w:color="FFFFFF" w:sz="0"/>
              <w:right w:val="none" w:color="FFFFFF" w:sz="0"/>
            </w:tcBorders>
            <w:shd w:fill="EEF5F6" w:color="auto" w:val="clear"/>
            <w:tcMar>
              <w:top w:type="dxa" w:w="200"/>
              <w:left w:type="dxa" w:w="280"/>
              <w:bottom w:type="dxa" w:w="200"/>
              <w:right w:type="dxa" w:w="280"/>
            </w:tcMar>
          </w:tcPr>
          <w:p>
            <w:pPr>
              <w:spacing w:after="0" w:line="290"/>
            </w:pPr>
            <w:r>
              <w:rPr>
                <w:rFonts w:ascii="Calibri" w:cs="Calibri" w:eastAsia="Calibri" w:hAnsi="Calibri"/>
                <w:b/>
                <w:bCs/>
                <w:color w:val="0B2540"/>
              </w:rPr>
              <w:t xml:space="preserve">Why it matters:</w:t>
            </w:r>
            <w:r>
              <w:rPr>
                <w:rFonts w:ascii="Calibri" w:cs="Calibri" w:eastAsia="Calibri" w:hAnsi="Calibri"/>
              </w:rPr>
              <w:t xml:space="preserve"> when variance is reported as a single number, nobody owns it. When it is split by driver, each leader can act on the part they control.</w:t>
            </w:r>
          </w:p>
        </w:tc>
      </w:tr>
    </w:tbl>
    <w:p>
      <w:pPr>
        <w:pStyle w:val="Heading1"/>
        <w:spacing w:after="160" w:before="480"/>
      </w:pPr>
      <w:r>
        <w:rPr>
          <w:rFonts w:ascii="Calibri" w:cs="Calibri" w:eastAsia="Calibri" w:hAnsi="Calibri"/>
          <w:color w:val="0E7C86"/>
        </w:rPr>
        <w:t xml:space="preserve">02  </w:t>
      </w:r>
      <w:r>
        <w:rPr>
          <w:rFonts w:ascii="Calibri" w:cs="Calibri" w:eastAsia="Calibri" w:hAnsi="Calibri"/>
        </w:rPr>
        <w:t xml:space="preserve">Forecast the patients, and let everything else follow</w:t>
      </w:r>
    </w:p>
    <w:p>
      <w:pPr>
        <w:keepNext/>
        <w:spacing w:after="160" w:line="300"/>
      </w:pPr>
      <w:r>
        <w:rPr>
          <w:rFonts w:ascii="Calibri" w:cs="Calibri" w:eastAsia="Calibri" w:hAnsi="Calibri"/>
        </w:rPr>
        <w:t xml:space="preserve">The core idea is simple: labor cost is a consequence of patient demand, not of last year's budget. The plan therefore forecasts the driver and derives everything downstream through transparent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26"/>
        <w:gridCol w:w="1800"/>
      </w:tblGrid>
      <w:tr>
        <w:trPr>
          <w:tblHeader/>
        </w:trPr>
        <w:tc>
          <w:tcPr>
            <w:tcW w:type="dxa" w:w="23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Step</w:t>
            </w:r>
          </w:p>
        </w:tc>
        <w:tc>
          <w:tcPr>
            <w:tcW w:type="dxa" w:w="49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Calculation</w:t>
            </w:r>
          </w:p>
        </w:tc>
        <w:tc>
          <w:tcPr>
            <w:tcW w:type="dxa" w:w="18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Owner</w:t>
            </w:r>
          </w:p>
        </w:tc>
      </w:tr>
      <w:tr>
        <w:trPr>
          <w:cantSplit/>
        </w:trPr>
        <w:tc>
          <w:tcPr>
            <w:tcW w:type="dxa" w:w="23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1. Patient days</w:t>
            </w:r>
          </w:p>
        </w:tc>
        <w:tc>
          <w:tcPr>
            <w:tcW w:type="dxa" w:w="49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Predicted from 32 months of monthly history</w:t>
            </w:r>
          </w:p>
        </w:tc>
        <w:tc>
          <w:tcPr>
            <w:tcW w:type="dxa" w:w="18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Strategy</w:t>
            </w:r>
          </w:p>
        </w:tc>
      </w:tr>
      <w:tr>
        <w:trPr>
          <w:cantSplit/>
        </w:trPr>
        <w:tc>
          <w:tcPr>
            <w:tcW w:type="dxa" w:w="23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2. Nursing hours</w:t>
            </w:r>
          </w:p>
        </w:tc>
        <w:tc>
          <w:tcPr>
            <w:tcW w:type="dxa" w:w="49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Forecast patient days × hours per patient day (HPPD)</w:t>
            </w:r>
          </w:p>
        </w:tc>
        <w:tc>
          <w:tcPr>
            <w:tcW w:type="dxa" w:w="18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Nursing</w:t>
            </w:r>
          </w:p>
        </w:tc>
      </w:tr>
      <w:tr>
        <w:trPr>
          <w:cantSplit/>
        </w:trPr>
        <w:tc>
          <w:tcPr>
            <w:tcW w:type="dxa" w:w="23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3. Paid FTEs</w:t>
            </w:r>
          </w:p>
        </w:tc>
        <w:tc>
          <w:tcPr>
            <w:tcW w:type="dxa" w:w="49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Nursing hours ÷ paid hours per nurse</w:t>
            </w:r>
          </w:p>
        </w:tc>
        <w:tc>
          <w:tcPr>
            <w:tcW w:type="dxa" w:w="18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HR</w:t>
            </w:r>
          </w:p>
        </w:tc>
      </w:tr>
      <w:tr>
        <w:trPr>
          <w:cantSplit/>
        </w:trPr>
        <w:tc>
          <w:tcPr>
            <w:tcW w:type="dxa" w:w="23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4. Labor cost</w:t>
            </w:r>
          </w:p>
        </w:tc>
        <w:tc>
          <w:tcPr>
            <w:tcW w:type="dxa" w:w="49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color w:val="1F2933"/>
                <w:sz w:val="20"/>
                <w:szCs w:val="20"/>
              </w:rPr>
              <w:t xml:space="preserve">Hours × wage rate × benefits load</w:t>
            </w:r>
          </w:p>
        </w:tc>
        <w:tc>
          <w:tcPr>
            <w:tcW w:type="dxa" w:w="18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color w:val="1F2933"/>
                <w:sz w:val="20"/>
                <w:szCs w:val="20"/>
              </w:rPr>
              <w:t xml:space="preserve">Finance</w:t>
            </w:r>
          </w:p>
        </w:tc>
      </w:tr>
    </w:tbl>
    <w:p>
      <w:pPr>
        <w:spacing w:after="160"/>
      </w:pPr>
    </w:p>
    <w:p>
      <w:pPr>
        <w:spacing w:after="160" w:line="300"/>
      </w:pPr>
      <w:r>
        <w:rPr>
          <w:rFonts w:ascii="Calibri" w:cs="Calibri" w:eastAsia="Calibri" w:hAnsi="Calibri"/>
        </w:rPr>
        <w:t xml:space="preserve">Because each link is a rule rather than a typed-in number, a change at the top flows through automatically. In the 2027 base case, the model forecasts </w:t>
      </w:r>
      <w:r>
        <w:rPr>
          <w:rFonts w:ascii="Calibri" w:cs="Calibri" w:eastAsia="Calibri" w:hAnsi="Calibri"/>
          <w:b/>
          <w:bCs/>
          <w:color w:val="0B2540"/>
        </w:rPr>
        <w:t xml:space="preserve">94,180 patient days</w:t>
      </w:r>
      <w:r>
        <w:rPr>
          <w:rFonts w:ascii="Calibri" w:cs="Calibri" w:eastAsia="Calibri" w:hAnsi="Calibri"/>
        </w:rPr>
        <w:t xml:space="preserve">, which translate into roughly </w:t>
      </w:r>
      <w:r>
        <w:rPr>
          <w:rFonts w:ascii="Calibri" w:cs="Calibri" w:eastAsia="Calibri" w:hAnsi="Calibri"/>
          <w:b/>
          <w:bCs/>
          <w:color w:val="0B2540"/>
        </w:rPr>
        <w:t xml:space="preserve">945,000 nursing hours</w:t>
      </w:r>
      <w:r>
        <w:rPr>
          <w:rFonts w:ascii="Calibri" w:cs="Calibri" w:eastAsia="Calibri" w:hAnsi="Calibri"/>
        </w:rPr>
        <w:t xml:space="preserve"> and an average of about </w:t>
      </w:r>
      <w:r>
        <w:rPr>
          <w:rFonts w:ascii="Calibri" w:cs="Calibri" w:eastAsia="Calibri" w:hAnsi="Calibri"/>
          <w:b/>
          <w:bCs/>
          <w:color w:val="0B2540"/>
        </w:rPr>
        <w:t xml:space="preserve">514 paid FTEs</w:t>
      </w:r>
      <w:r>
        <w:rPr>
          <w:rFonts w:ascii="Calibri" w:cs="Calibri" w:eastAsia="Calibri" w:hAnsi="Calibri"/>
        </w:rPr>
        <w:t xml:space="preserve">.</w:t>
      </w:r>
    </w:p>
    <w:p>
      <w:pPr>
        <w:pStyle w:val="Heading1"/>
        <w:spacing w:after="160" w:before="480"/>
      </w:pPr>
      <w:r>
        <w:rPr>
          <w:rFonts w:ascii="Calibri" w:cs="Calibri" w:eastAsia="Calibri" w:hAnsi="Calibri"/>
          <w:color w:val="0E7C86"/>
        </w:rPr>
        <w:t xml:space="preserve">03  </w:t>
      </w:r>
      <w:r>
        <w:rPr>
          <w:rFonts w:ascii="Calibri" w:cs="Calibri" w:eastAsia="Calibri" w:hAnsi="Calibri"/>
        </w:rPr>
        <w:t xml:space="preserve">One Fabric platform, from source data to plan</w:t>
      </w:r>
    </w:p>
    <w:p>
      <w:pPr>
        <w:keepNext/>
        <w:spacing w:after="160" w:line="300"/>
      </w:pPr>
      <w:r>
        <w:rPr>
          <w:rFonts w:ascii="Calibri" w:cs="Calibri" w:eastAsia="Calibri" w:hAnsi="Calibri"/>
        </w:rPr>
        <w:t xml:space="preserve">The census behind the plan is the same census in every report. Data flows through a single platform, so operations, workforce and finance never reconcile competing spreadsheets.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Layer</w:t>
            </w:r>
          </w:p>
        </w:tc>
        <w:tc>
          <w:tcPr>
            <w:tcW w:type="dxa" w:w="64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Role</w:t>
            </w:r>
          </w:p>
        </w:tc>
      </w:tr>
      <w:tr>
        <w:trPr>
          <w:cantSplit/>
        </w:trPr>
        <w:tc>
          <w:tcPr>
            <w:tcW w:type="dxa" w:w="26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Source data</w:t>
            </w:r>
          </w:p>
        </w:tc>
        <w:tc>
          <w:tcPr>
            <w:tcW w:type="dxa" w:w="6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Census, timekeeping, payroll and general ledger</w:t>
            </w:r>
          </w:p>
        </w:tc>
      </w:tr>
      <w:tr>
        <w:trPr>
          <w:cantSplit/>
        </w:trPr>
        <w:tc>
          <w:tcPr>
            <w:tcW w:type="dxa" w:w="26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Lakehouse (OneLake)</w:t>
            </w:r>
          </w:p>
        </w:tc>
        <w:tc>
          <w:tcPr>
            <w:tcW w:type="dxa" w:w="64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Delta tables that store operational data once</w:t>
            </w:r>
          </w:p>
        </w:tc>
      </w:tr>
      <w:tr>
        <w:trPr>
          <w:cantSplit/>
        </w:trPr>
        <w:tc>
          <w:tcPr>
            <w:tcW w:type="dxa" w:w="26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Semantic model</w:t>
            </w:r>
          </w:p>
        </w:tc>
        <w:tc>
          <w:tcPr>
            <w:tcW w:type="dxa" w:w="6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Star schema, relationships and measures defined once and reused everywhere</w:t>
            </w:r>
          </w:p>
        </w:tc>
      </w:tr>
      <w:tr>
        <w:trPr>
          <w:cantSplit/>
        </w:trPr>
        <w:tc>
          <w:tcPr>
            <w:tcW w:type="dxa" w:w="26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Planning sheet</w:t>
            </w:r>
          </w:p>
        </w:tc>
        <w:tc>
          <w:tcPr>
            <w:tcW w:type="dxa" w:w="64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Forecast, Predict, staffing formulas and scenarios</w:t>
            </w:r>
          </w:p>
        </w:tc>
      </w:tr>
      <w:tr>
        <w:trPr>
          <w:cantSplit/>
        </w:trPr>
        <w:tc>
          <w:tcPr>
            <w:tcW w:type="dxa" w:w="26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Intelligence</w:t>
            </w:r>
          </w:p>
        </w:tc>
        <w:tc>
          <w:tcPr>
            <w:tcW w:type="dxa" w:w="6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left"/>
            </w:pPr>
            <w:r>
              <w:rPr>
                <w:rFonts w:ascii="Calibri" w:cs="Calibri" w:eastAsia="Calibri" w:hAnsi="Calibri"/>
                <w:b w:val="false"/>
                <w:bCs w:val="false"/>
                <w:color w:val="1F2933"/>
                <w:sz w:val="20"/>
                <w:szCs w:val="20"/>
              </w:rPr>
              <w:t xml:space="preserve">Actual-versus-budget variance and executive reporting</w:t>
            </w:r>
          </w:p>
        </w:tc>
      </w:tr>
    </w:tbl>
    <w:p>
      <w:pPr>
        <w:spacing w:after="160"/>
      </w:pPr>
    </w:p>
    <w:p>
      <w:pPr>
        <w:spacing w:after="160" w:line="300"/>
      </w:pPr>
      <w:r>
        <w:rPr>
          <w:rFonts w:ascii="Calibri" w:cs="Calibri" w:eastAsia="Calibri" w:hAnsi="Calibri"/>
          <w:b/>
          <w:bCs/>
          <w:color w:val="0B2540"/>
        </w:rPr>
        <w:t xml:space="preserve">Direct Lake</w:t>
      </w:r>
      <w:r>
        <w:rPr>
          <w:rFonts w:ascii="Calibri" w:cs="Calibri" w:eastAsia="Calibri" w:hAnsi="Calibri"/>
        </w:rPr>
        <w:t xml:space="preserve"> reads the Lakehouse tables directly, with no import or copy. The semantic model uses six dimensions (date, department, job class, payer, GL account and scenario) and five fact tables (census, ancillary volume, labor, patient revenue and general ledger). Measures are defined once in a Calculations table.</w:t>
      </w:r>
    </w:p>
    <w:p>
      <w:pPr>
        <w:keepNext/>
        <w:spacing w:after="60" w:before="240"/>
        <w:jc w:val="center"/>
      </w:pPr>
      <w:r>
        <w:drawing>
          <wp:inline distT="0" distB="0" distL="0" distR="0">
            <wp:extent cx="5715000" cy="2143125"/>
            <wp:effectExtent t="0" r="0" b="0" l="0"/>
            <wp:docPr id="1" name="Figure 2" descr="The semantic model: fact tables joined to shared dimensions, with measures in a single Calculations table alongside the planning driver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43125"/>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2. </w:t>
      </w:r>
      <w:r>
        <w:rPr>
          <w:rFonts w:ascii="Calibri" w:cs="Calibri" w:eastAsia="Calibri" w:hAnsi="Calibri"/>
          <w:i w:val="false"/>
          <w:iCs w:val="false"/>
          <w:color w:val="5B6B7B"/>
          <w:sz w:val="18"/>
          <w:szCs w:val="18"/>
        </w:rPr>
        <w:t xml:space="preserve">The semantic model: fact tables joined to shared dimensions, with measures in a single Calculations table alongside the planning drivers.</w:t>
      </w:r>
    </w:p>
    <w:p>
      <w:pPr>
        <w:pStyle w:val="Heading1"/>
        <w:spacing w:after="160" w:before="480"/>
      </w:pPr>
      <w:r>
        <w:rPr>
          <w:rFonts w:ascii="Calibri" w:cs="Calibri" w:eastAsia="Calibri" w:hAnsi="Calibri"/>
          <w:color w:val="0E7C86"/>
        </w:rPr>
        <w:t xml:space="preserve">04  </w:t>
      </w:r>
      <w:r>
        <w:rPr>
          <w:rFonts w:ascii="Calibri" w:cs="Calibri" w:eastAsia="Calibri" w:hAnsi="Calibri"/>
        </w:rPr>
        <w:t xml:space="preserve">Five steps to a driver-based plan</w:t>
      </w:r>
    </w:p>
    <w:p>
      <w:pPr>
        <w:keepNext/>
        <w:spacing w:after="160" w:line="300"/>
      </w:pPr>
      <w:r>
        <w:rPr>
          <w:rFonts w:ascii="Calibri" w:cs="Calibri" w:eastAsia="Calibri" w:hAnsi="Calibri"/>
        </w:rPr>
        <w:t xml:space="preserve">The plan is built in a short, repeatable sequence inside the planning sheet:</w:t>
      </w:r>
    </w:p>
    <w:p>
      <w:pPr>
        <w:pStyle w:val="ListParagraph"/>
        <w:numPr>
          <w:ilvl w:val="0"/>
          <w:numId w:val="2"/>
        </w:numPr>
        <w:spacing w:after="110" w:line="290"/>
      </w:pPr>
      <w:r>
        <w:rPr>
          <w:rFonts w:ascii="Calibri" w:cs="Calibri" w:eastAsia="Calibri" w:hAnsi="Calibri"/>
          <w:b/>
          <w:bCs/>
          <w:color w:val="0B2540"/>
        </w:rPr>
        <w:t xml:space="preserve">Filter to actuals.</w:t>
      </w:r>
      <w:r>
        <w:rPr>
          <w:rFonts w:ascii="Calibri" w:cs="Calibri" w:eastAsia="Calibri" w:hAnsi="Calibri"/>
        </w:rPr>
        <w:t xml:space="preserve"> Set Scenario = Actual and include inpatient units only, so budget rows do not mix into history. Without this step, 2026 can double count and teach the forecast a false jump.</w:t>
      </w:r>
    </w:p>
    <w:p>
      <w:pPr>
        <w:pStyle w:val="ListParagraph"/>
        <w:numPr>
          <w:ilvl w:val="0"/>
          <w:numId w:val="2"/>
        </w:numPr>
        <w:spacing w:after="110" w:line="290"/>
      </w:pPr>
      <w:r>
        <w:rPr>
          <w:rFonts w:ascii="Calibri" w:cs="Calibri" w:eastAsia="Calibri" w:hAnsi="Calibri"/>
          <w:b/>
          <w:bCs/>
          <w:color w:val="0B2540"/>
        </w:rPr>
        <w:t xml:space="preserve">Create the forecast measure.</w:t>
      </w:r>
      <w:r>
        <w:rPr>
          <w:rFonts w:ascii="Calibri" w:cs="Calibri" w:eastAsia="Calibri" w:hAnsi="Calibri"/>
        </w:rPr>
        <w:t xml:space="preserve"> Define the forecast period. Closed months link to actual patient days; future months stay open for the forecast to fill.</w:t>
      </w:r>
    </w:p>
    <w:p>
      <w:pPr>
        <w:pStyle w:val="ListParagraph"/>
        <w:numPr>
          <w:ilvl w:val="0"/>
          <w:numId w:val="2"/>
        </w:numPr>
        <w:spacing w:after="110" w:line="290"/>
      </w:pPr>
      <w:r>
        <w:rPr>
          <w:rFonts w:ascii="Calibri" w:cs="Calibri" w:eastAsia="Calibri" w:hAnsi="Calibri"/>
          <w:b/>
          <w:bCs/>
          <w:color w:val="0B2540"/>
        </w:rPr>
        <w:t xml:space="preserve">Run Predict.</w:t>
      </w:r>
      <w:r>
        <w:rPr>
          <w:rFonts w:ascii="Calibri" w:cs="Calibri" w:eastAsia="Calibri" w:hAnsi="Calibri"/>
        </w:rPr>
        <w:t xml:space="preserve"> Use Trend Decomposition with MSTL, trained on January 2024 to August 2026 with 12-month seasonality.</w:t>
      </w:r>
    </w:p>
    <w:p>
      <w:pPr>
        <w:pStyle w:val="ListParagraph"/>
        <w:numPr>
          <w:ilvl w:val="0"/>
          <w:numId w:val="2"/>
        </w:numPr>
        <w:spacing w:after="110" w:line="290"/>
      </w:pPr>
      <w:r>
        <w:rPr>
          <w:rFonts w:ascii="Calibri" w:cs="Calibri" w:eastAsia="Calibri" w:hAnsi="Calibri"/>
          <w:b/>
          <w:bCs/>
          <w:color w:val="0B2540"/>
        </w:rPr>
        <w:t xml:space="preserve">Add staffing formulas.</w:t>
      </w:r>
      <w:r>
        <w:rPr>
          <w:rFonts w:ascii="Calibri" w:cs="Calibri" w:eastAsia="Calibri" w:hAnsi="Calibri"/>
        </w:rPr>
        <w:t xml:space="preserve"> Nursing hours, paid FTEs and labor cost calculate month by month from the forecast.</w:t>
      </w:r>
    </w:p>
    <w:p>
      <w:pPr>
        <w:pStyle w:val="ListParagraph"/>
        <w:numPr>
          <w:ilvl w:val="0"/>
          <w:numId w:val="2"/>
        </w:numPr>
        <w:spacing w:after="110" w:line="290"/>
      </w:pPr>
      <w:r>
        <w:rPr>
          <w:rFonts w:ascii="Calibri" w:cs="Calibri" w:eastAsia="Calibri" w:hAnsi="Calibri"/>
          <w:b/>
          <w:bCs/>
          <w:color w:val="0B2540"/>
        </w:rPr>
        <w:t xml:space="preserve">Simulate scenarios.</w:t>
      </w:r>
      <w:r>
        <w:rPr>
          <w:rFonts w:ascii="Calibri" w:cs="Calibri" w:eastAsia="Calibri" w:hAnsi="Calibri"/>
        </w:rPr>
        <w:t xml:space="preserve"> Model changes such as +10% and −5% volume, then compare them side by side.</w:t>
      </w:r>
    </w:p>
    <w:p>
      <w:pPr>
        <w:keepNext/>
        <w:spacing w:after="60" w:before="240"/>
        <w:jc w:val="center"/>
      </w:pPr>
      <w:r>
        <w:drawing>
          <wp:inline distT="0" distB="0" distL="0" distR="0">
            <wp:extent cx="4476750" cy="2790825"/>
            <wp:effectExtent t="0" r="0" b="0" l="0"/>
            <wp:docPr id="1" name="Figure 3" descr="Insert Forecast Measures: name the measure and set its period, then define closed and open period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790825"/>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3. </w:t>
      </w:r>
      <w:r>
        <w:rPr>
          <w:rFonts w:ascii="Calibri" w:cs="Calibri" w:eastAsia="Calibri" w:hAnsi="Calibri"/>
          <w:i w:val="false"/>
          <w:iCs w:val="false"/>
          <w:color w:val="5B6B7B"/>
          <w:sz w:val="18"/>
          <w:szCs w:val="18"/>
        </w:rPr>
        <w:t xml:space="preserve">Insert Forecast Measures: name the measure and set its period, then define closed and open periods.</w:t>
      </w:r>
    </w:p>
    <w:p>
      <w:pPr>
        <w:keepNext/>
        <w:spacing w:after="60" w:before="240"/>
        <w:jc w:val="center"/>
      </w:pPr>
      <w:r>
        <w:drawing>
          <wp:inline distT="0" distB="0" distL="0" distR="0">
            <wp:extent cx="3619500" cy="3533775"/>
            <wp:effectExtent t="0" r="0" b="0" l="0"/>
            <wp:docPr id="1" name="Figure 4" descr="Predict with Trend Decomposition with MSTL selected. Forecasting needs monthly columns; with yearly columns there is no seasonality to learn, so Run stays disabl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533775"/>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4. </w:t>
      </w:r>
      <w:r>
        <w:rPr>
          <w:rFonts w:ascii="Calibri" w:cs="Calibri" w:eastAsia="Calibri" w:hAnsi="Calibri"/>
          <w:i w:val="false"/>
          <w:iCs w:val="false"/>
          <w:color w:val="5B6B7B"/>
          <w:sz w:val="18"/>
          <w:szCs w:val="18"/>
        </w:rPr>
        <w:t xml:space="preserve">Predict with Trend Decomposition with MSTL selected. Forecasting needs monthly columns; with yearly columns there is no seasonality to learn, so Run stays disabled.</w:t>
      </w:r>
    </w:p>
    <w:p>
      <w:pPr>
        <w:pStyle w:val="Heading1"/>
        <w:spacing w:after="160" w:before="480"/>
      </w:pPr>
      <w:r>
        <w:rPr>
          <w:rFonts w:ascii="Calibri" w:cs="Calibri" w:eastAsia="Calibri" w:hAnsi="Calibri"/>
          <w:color w:val="0E7C86"/>
        </w:rPr>
        <w:t xml:space="preserve">05  </w:t>
      </w:r>
      <w:r>
        <w:rPr>
          <w:rFonts w:ascii="Calibri" w:cs="Calibri" w:eastAsia="Calibri" w:hAnsi="Calibri"/>
        </w:rPr>
        <w:t xml:space="preserve">Four constants turn hours into people and dollars</w:t>
      </w:r>
    </w:p>
    <w:p>
      <w:pPr>
        <w:keepNext/>
        <w:spacing w:after="160" w:line="300"/>
      </w:pPr>
      <w:r>
        <w:rPr>
          <w:rFonts w:ascii="Calibri" w:cs="Calibri" w:eastAsia="Calibri" w:hAnsi="Calibri"/>
        </w:rPr>
        <w:t xml:space="preserve">The staffing formulas rely on four planning constants. Each is visible and can be challenged or updated by its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5326"/>
      </w:tblGrid>
      <w:tr>
        <w:trPr>
          <w:tblHeader/>
        </w:trPr>
        <w:tc>
          <w:tcPr>
            <w:tcW w:type="dxa" w:w="24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Constant</w:t>
            </w:r>
          </w:p>
        </w:tc>
        <w:tc>
          <w:tcPr>
            <w:tcW w:type="dxa" w:w="13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Value</w:t>
            </w:r>
          </w:p>
        </w:tc>
        <w:tc>
          <w:tcPr>
            <w:tcW w:type="dxa" w:w="53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Meaning</w:t>
            </w:r>
          </w:p>
        </w:tc>
      </w:tr>
      <w:tr>
        <w:trPr>
          <w:cantSplit/>
        </w:trPr>
        <w:tc>
          <w:tcPr>
            <w:tcW w:type="dxa" w:w="2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Worked share</w:t>
            </w:r>
          </w:p>
        </w:tc>
        <w:tc>
          <w:tcPr>
            <w:tcW w:type="dxa" w:w="13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0.885</w:t>
            </w:r>
          </w:p>
        </w:tc>
        <w:tc>
          <w:tcPr>
            <w:tcW w:type="dxa" w:w="53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11.5% of paid time goes to PTO, holidays and sick days</w:t>
            </w:r>
          </w:p>
        </w:tc>
      </w:tr>
      <w:tr>
        <w:trPr>
          <w:cantSplit/>
        </w:trPr>
        <w:tc>
          <w:tcPr>
            <w:tcW w:type="dxa" w:w="2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Hours per FTE</w:t>
            </w:r>
          </w:p>
        </w:tc>
        <w:tc>
          <w:tcPr>
            <w:tcW w:type="dxa" w:w="13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173.33</w:t>
            </w:r>
          </w:p>
        </w:tc>
        <w:tc>
          <w:tcPr>
            <w:tcW w:type="dxa" w:w="53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2,080 paid hours a year ÷ 12 months</w:t>
            </w:r>
          </w:p>
        </w:tc>
      </w:tr>
      <w:tr>
        <w:trPr>
          <w:cantSplit/>
        </w:trPr>
        <w:tc>
          <w:tcPr>
            <w:tcW w:type="dxa" w:w="2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Blended wage (2027)</w:t>
            </w:r>
          </w:p>
        </w:tc>
        <w:tc>
          <w:tcPr>
            <w:tcW w:type="dxa" w:w="13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$41.91</w:t>
            </w:r>
          </w:p>
        </w:tc>
        <w:tc>
          <w:tcPr>
            <w:tcW w:type="dxa" w:w="53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Average hourly rate across RNs, LPNs and nursing assistants</w:t>
            </w:r>
          </w:p>
        </w:tc>
      </w:tr>
      <w:tr>
        <w:trPr>
          <w:cantSplit/>
        </w:trPr>
        <w:tc>
          <w:tcPr>
            <w:tcW w:type="dxa" w:w="2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Benefits load</w:t>
            </w:r>
          </w:p>
        </w:tc>
        <w:tc>
          <w:tcPr>
            <w:tcW w:type="dxa" w:w="13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1.285</w:t>
            </w:r>
          </w:p>
        </w:tc>
        <w:tc>
          <w:tcPr>
            <w:tcW w:type="dxa" w:w="53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val="false"/>
                <w:bCs w:val="false"/>
                <w:color w:val="1F2933"/>
                <w:sz w:val="20"/>
                <w:szCs w:val="20"/>
              </w:rPr>
              <w:t xml:space="preserve">Adds 28.5% for health, retirement and payroll taxes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86" w:sz="24"/>
              <w:bottom w:val="none" w:color="FFFFFF" w:sz="0"/>
              <w:right w:val="none" w:color="FFFFFF" w:sz="0"/>
            </w:tcBorders>
            <w:shd w:fill="EEF5F6" w:color="auto" w:val="clear"/>
            <w:tcMar>
              <w:top w:type="dxa" w:w="200"/>
              <w:left w:type="dxa" w:w="280"/>
              <w:bottom w:type="dxa" w:w="200"/>
              <w:right w:type="dxa" w:w="280"/>
            </w:tcMar>
          </w:tcPr>
          <w:p>
            <w:pPr>
              <w:spacing w:after="0" w:line="290"/>
            </w:pPr>
            <w:r>
              <w:rPr>
                <w:rFonts w:ascii="Calibri" w:cs="Calibri" w:eastAsia="Calibri" w:hAnsi="Calibri"/>
                <w:b/>
                <w:bCs/>
                <w:color w:val="0B2540"/>
              </w:rPr>
              <w:t xml:space="preserve">The chain in one line:</w:t>
            </w:r>
            <w:r>
              <w:rPr>
                <w:rFonts w:ascii="Calibri" w:cs="Calibri" w:eastAsia="Calibri" w:hAnsi="Calibri"/>
              </w:rPr>
              <w:t xml:space="preserve"> patient days × HPPD = nursing hours → ÷ hours per nurse = FTEs → × wage and benefits = labor cost.</w:t>
            </w:r>
          </w:p>
        </w:tc>
      </w:tr>
    </w:tbl>
    <w:p>
      <w:pPr>
        <w:pStyle w:val="Heading1"/>
        <w:spacing w:after="160" w:before="480"/>
      </w:pPr>
      <w:r>
        <w:rPr>
          <w:rFonts w:ascii="Calibri" w:cs="Calibri" w:eastAsia="Calibri" w:hAnsi="Calibri"/>
          <w:color w:val="0E7C86"/>
        </w:rPr>
        <w:t xml:space="preserve">06  </w:t>
      </w:r>
      <w:r>
        <w:rPr>
          <w:rFonts w:ascii="Calibri" w:cs="Calibri" w:eastAsia="Calibri" w:hAnsi="Calibri"/>
        </w:rPr>
        <w:t xml:space="preserve">The 2027 forecast: 94,180 patient days</w:t>
      </w:r>
    </w:p>
    <w:p>
      <w:pPr>
        <w:keepNext/>
        <w:spacing w:after="160" w:line="300"/>
      </w:pPr>
      <w:r>
        <w:rPr>
          <w:rFonts w:ascii="Calibri" w:cs="Calibri" w:eastAsia="Calibri" w:hAnsi="Calibri"/>
        </w:rPr>
        <w:t xml:space="preserve">Predict learns from 32 months of history (January 2024 to August 2026) and forecasts September 2026 through December 2027. Actual history stays untouched; only open periods are filled.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4426"/>
      </w:tblGrid>
      <w:tr>
        <w:trPr>
          <w:tblHeader/>
        </w:trPr>
        <w:tc>
          <w:tcPr>
            <w:tcW w:type="dxa" w:w="24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Quarter</w:t>
            </w:r>
          </w:p>
        </w:tc>
        <w:tc>
          <w:tcPr>
            <w:tcW w:type="dxa" w:w="22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Patient days</w:t>
            </w:r>
          </w:p>
        </w:tc>
        <w:tc>
          <w:tcPr>
            <w:tcW w:type="dxa" w:w="44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Note</w:t>
            </w:r>
          </w:p>
        </w:tc>
      </w:tr>
      <w:tr>
        <w:trPr>
          <w:cantSplit/>
        </w:trPr>
        <w:tc>
          <w:tcPr>
            <w:tcW w:type="dxa" w:w="2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Q1 2027</w:t>
            </w:r>
          </w:p>
        </w:tc>
        <w:tc>
          <w:tcPr>
            <w:tcW w:type="dxa" w:w="22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24,590</w:t>
            </w:r>
          </w:p>
        </w:tc>
        <w:tc>
          <w:tcPr>
            <w:tcW w:type="dxa" w:w="4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Respiratory season peak</w:t>
            </w:r>
          </w:p>
        </w:tc>
      </w:tr>
      <w:tr>
        <w:trPr>
          <w:cantSplit/>
        </w:trPr>
        <w:tc>
          <w:tcPr>
            <w:tcW w:type="dxa" w:w="2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Q2 2027</w:t>
            </w:r>
          </w:p>
        </w:tc>
        <w:tc>
          <w:tcPr>
            <w:tcW w:type="dxa" w:w="22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22,850</w:t>
            </w:r>
          </w:p>
        </w:tc>
        <w:tc>
          <w:tcPr>
            <w:tcW w:type="dxa" w:w="44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
            </w:r>
          </w:p>
        </w:tc>
      </w:tr>
      <w:tr>
        <w:trPr>
          <w:cantSplit/>
        </w:trPr>
        <w:tc>
          <w:tcPr>
            <w:tcW w:type="dxa" w:w="2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Q3 2027</w:t>
            </w:r>
          </w:p>
        </w:tc>
        <w:tc>
          <w:tcPr>
            <w:tcW w:type="dxa" w:w="22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22,770</w:t>
            </w:r>
          </w:p>
        </w:tc>
        <w:tc>
          <w:tcPr>
            <w:tcW w:type="dxa" w:w="4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Seasonal low</w:t>
            </w:r>
          </w:p>
        </w:tc>
      </w:tr>
      <w:tr>
        <w:trPr>
          <w:cantSplit/>
        </w:trPr>
        <w:tc>
          <w:tcPr>
            <w:tcW w:type="dxa" w:w="2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Q4 2027</w:t>
            </w:r>
          </w:p>
        </w:tc>
        <w:tc>
          <w:tcPr>
            <w:tcW w:type="dxa" w:w="22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23,970</w:t>
            </w:r>
          </w:p>
        </w:tc>
        <w:tc>
          <w:tcPr>
            <w:tcW w:type="dxa" w:w="44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
            </w:r>
          </w:p>
        </w:tc>
      </w:tr>
      <w:tr>
        <w:trPr>
          <w:cantSplit/>
        </w:trPr>
        <w:tc>
          <w:tcPr>
            <w:tcW w:type="dxa" w:w="2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Full year</w:t>
            </w:r>
          </w:p>
        </w:tc>
        <w:tc>
          <w:tcPr>
            <w:tcW w:type="dxa" w:w="22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right"/>
            </w:pPr>
            <w:r>
              <w:rPr>
                <w:rFonts w:ascii="Calibri" w:cs="Calibri" w:eastAsia="Calibri" w:hAnsi="Calibri"/>
                <w:b/>
                <w:bCs/>
                <w:color w:val="1F2933"/>
                <w:sz w:val="20"/>
                <w:szCs w:val="20"/>
              </w:rPr>
              <w:t xml:space="preserve">94,180</w:t>
            </w:r>
          </w:p>
        </w:tc>
        <w:tc>
          <w:tcPr>
            <w:tcW w:type="dxa" w:w="4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11 inpatient units</w:t>
            </w:r>
          </w:p>
        </w:tc>
      </w:tr>
    </w:tbl>
    <w:p>
      <w:pPr>
        <w:spacing w:after="160"/>
      </w:pPr>
    </w:p>
    <w:p>
      <w:pPr>
        <w:spacing w:after="160" w:line="300"/>
      </w:pPr>
      <w:r>
        <w:rPr>
          <w:rFonts w:ascii="Calibri" w:cs="Calibri" w:eastAsia="Calibri" w:hAnsi="Calibri"/>
        </w:rPr>
        <w:t xml:space="preserve">The forecast also surfaced a signal nobody programmed in. </w:t>
      </w:r>
      <w:r>
        <w:rPr>
          <w:rFonts w:ascii="Calibri" w:cs="Calibri" w:eastAsia="Calibri" w:hAnsi="Calibri"/>
          <w:b/>
          <w:bCs/>
          <w:color w:val="0B2540"/>
        </w:rPr>
        <w:t xml:space="preserve">Orthopedics climbs to 10,330 patient days</w:t>
      </w:r>
      <w:r>
        <w:rPr>
          <w:rFonts w:ascii="Calibri" w:cs="Calibri" w:eastAsia="Calibri" w:hAnsi="Calibri"/>
        </w:rPr>
        <w:t xml:space="preserve">, up from 8,600 in 2025. The model picked up the growth from a new surgeon group on its own, purely from the historical trend.</w:t>
      </w:r>
    </w:p>
    <w:p>
      <w:pPr>
        <w:keepNext/>
        <w:spacing w:after="60" w:before="240"/>
        <w:jc w:val="center"/>
      </w:pPr>
      <w:r>
        <w:drawing>
          <wp:inline distT="0" distB="0" distL="0" distR="0">
            <wp:extent cx="5715000" cy="2743200"/>
            <wp:effectExtent t="0" r="0" b="0" l="0"/>
            <wp:docPr id="1" name="Figure 5" descr="Patient days and Forecast 2027 by unit. Closed years match actuals; 2027 is forecast by quarter for each inpatient un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43200"/>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5. </w:t>
      </w:r>
      <w:r>
        <w:rPr>
          <w:rFonts w:ascii="Calibri" w:cs="Calibri" w:eastAsia="Calibri" w:hAnsi="Calibri"/>
          <w:i w:val="false"/>
          <w:iCs w:val="false"/>
          <w:color w:val="5B6B7B"/>
          <w:sz w:val="18"/>
          <w:szCs w:val="18"/>
        </w:rPr>
        <w:t xml:space="preserve">Patient days and Forecast 2027 by unit. Closed years match actuals; 2027 is forecast by quarter for each inpatient unit.</w:t>
      </w:r>
    </w:p>
    <w:p>
      <w:pPr>
        <w:pStyle w:val="Heading1"/>
        <w:spacing w:after="160" w:before="480"/>
      </w:pPr>
      <w:r>
        <w:rPr>
          <w:rFonts w:ascii="Calibri" w:cs="Calibri" w:eastAsia="Calibri" w:hAnsi="Calibri"/>
          <w:color w:val="0E7C86"/>
        </w:rPr>
        <w:t xml:space="preserve">07  </w:t>
      </w:r>
      <w:r>
        <w:rPr>
          <w:rFonts w:ascii="Calibri" w:cs="Calibri" w:eastAsia="Calibri" w:hAnsi="Calibri"/>
        </w:rPr>
        <w:t xml:space="preserve">Testing decisions before they happen</w:t>
      </w:r>
    </w:p>
    <w:p>
      <w:pPr>
        <w:spacing w:after="160" w:line="300"/>
      </w:pPr>
      <w:r>
        <w:rPr>
          <w:rFonts w:ascii="Calibri" w:cs="Calibri" w:eastAsia="Calibri" w:hAnsi="Calibri"/>
        </w:rPr>
        <w:t xml:space="preserve">With the drivers in place, a scenario is a single change. Leaders create a scenario tab, select the cells to adjust and enter the percentage once. Hours, FTEs and cost recalculate automatically, and every changed cell is tagged so the adjustment is always visible.</w:t>
      </w:r>
    </w:p>
    <w:p>
      <w:pPr>
        <w:keepNext/>
        <w:spacing w:after="60" w:before="240"/>
        <w:jc w:val="center"/>
      </w:pPr>
      <w:r>
        <w:drawing>
          <wp:inline distT="0" distB="0" distL="0" distR="0">
            <wp:extent cx="5715000" cy="1828800"/>
            <wp:effectExtent t="0" r="0" b="0" l="0"/>
            <wp:docPr id="1" name="Figure 6" descr="Entering a simulation: select a block of forecast cells and apply a percentage change o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28800"/>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6. </w:t>
      </w:r>
      <w:r>
        <w:rPr>
          <w:rFonts w:ascii="Calibri" w:cs="Calibri" w:eastAsia="Calibri" w:hAnsi="Calibri"/>
          <w:i w:val="false"/>
          <w:iCs w:val="false"/>
          <w:color w:val="5B6B7B"/>
          <w:sz w:val="18"/>
          <w:szCs w:val="18"/>
        </w:rPr>
        <w:t xml:space="preserve">Entering a simulation: select a block of forecast cells and apply a percentage change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700"/>
        <w:gridCol w:w="2726"/>
      </w:tblGrid>
      <w:tr>
        <w:trPr>
          <w:tblHeader/>
        </w:trPr>
        <w:tc>
          <w:tcPr>
            <w:tcW w:type="dxa" w:w="36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Scenario</w:t>
            </w:r>
          </w:p>
        </w:tc>
        <w:tc>
          <w:tcPr>
            <w:tcW w:type="dxa" w:w="27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Patient days</w:t>
            </w:r>
          </w:p>
        </w:tc>
        <w:tc>
          <w:tcPr>
            <w:tcW w:type="dxa" w:w="27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Labor cost</w:t>
            </w:r>
          </w:p>
        </w:tc>
      </w:tr>
      <w:tr>
        <w:trPr>
          <w:cantSplit/>
        </w:trPr>
        <w:tc>
          <w:tcPr>
            <w:tcW w:type="dxa" w:w="36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−5% volume</w:t>
            </w:r>
          </w:p>
        </w:tc>
        <w:tc>
          <w:tcPr>
            <w:tcW w:type="dxa" w:w="27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89,470</w:t>
            </w:r>
          </w:p>
        </w:tc>
        <w:tc>
          <w:tcPr>
            <w:tcW w:type="dxa" w:w="27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≈$54.6M</w:t>
            </w:r>
          </w:p>
        </w:tc>
      </w:tr>
      <w:tr>
        <w:trPr>
          <w:cantSplit/>
        </w:trPr>
        <w:tc>
          <w:tcPr>
            <w:tcW w:type="dxa" w:w="36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Base</w:t>
            </w:r>
          </w:p>
        </w:tc>
        <w:tc>
          <w:tcPr>
            <w:tcW w:type="dxa" w:w="27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94,180</w:t>
            </w:r>
          </w:p>
        </w:tc>
        <w:tc>
          <w:tcPr>
            <w:tcW w:type="dxa" w:w="27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≈$57.5M</w:t>
            </w:r>
          </w:p>
        </w:tc>
      </w:tr>
      <w:tr>
        <w:trPr>
          <w:cantSplit/>
        </w:trPr>
        <w:tc>
          <w:tcPr>
            <w:tcW w:type="dxa" w:w="36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+10% volume</w:t>
            </w:r>
          </w:p>
        </w:tc>
        <w:tc>
          <w:tcPr>
            <w:tcW w:type="dxa" w:w="27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103,600</w:t>
            </w:r>
          </w:p>
        </w:tc>
        <w:tc>
          <w:tcPr>
            <w:tcW w:type="dxa" w:w="27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≈$63.3M</w:t>
            </w:r>
          </w:p>
        </w:tc>
      </w:tr>
      <w:tr>
        <w:trPr>
          <w:cantSplit/>
        </w:trPr>
        <w:tc>
          <w:tcPr>
            <w:tcW w:type="dxa" w:w="36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Respiratory surge</w:t>
            </w:r>
          </w:p>
        </w:tc>
        <w:tc>
          <w:tcPr>
            <w:tcW w:type="dxa" w:w="27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97,600</w:t>
            </w:r>
          </w:p>
        </w:tc>
        <w:tc>
          <w:tcPr>
            <w:tcW w:type="dxa" w:w="27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≈$59.6M</w:t>
            </w:r>
          </w:p>
        </w:tc>
      </w:tr>
    </w:tbl>
    <w:p>
      <w:pPr>
        <w:spacing w:after="160"/>
      </w:pPr>
    </w:p>
    <w:p>
      <w:pPr>
        <w:pStyle w:val="Heading2"/>
        <w:spacing w:after="120" w:before="280"/>
      </w:pPr>
      <w:r>
        <w:rPr>
          <w:rFonts w:ascii="Calibri" w:cs="Calibri" w:eastAsia="Calibri" w:hAnsi="Calibri"/>
        </w:rPr>
        <w:t xml:space="preserve">Example: ICU at +10% volume</w:t>
      </w:r>
    </w:p>
    <w:p>
      <w:pPr>
        <w:spacing w:after="160" w:line="300"/>
      </w:pPr>
      <w:r>
        <w:rPr>
          <w:rFonts w:ascii="Calibri" w:cs="Calibri" w:eastAsia="Calibri" w:hAnsi="Calibri"/>
        </w:rPr>
        <w:t xml:space="preserve">A 10% increase lifts ICU patient days from </w:t>
      </w:r>
      <w:r>
        <w:rPr>
          <w:rFonts w:ascii="Calibri" w:cs="Calibri" w:eastAsia="Calibri" w:hAnsi="Calibri"/>
          <w:b/>
          <w:bCs/>
          <w:color w:val="0B2540"/>
        </w:rPr>
        <w:t xml:space="preserve">7,300 to 8,030</w:t>
      </w:r>
      <w:r>
        <w:rPr>
          <w:rFonts w:ascii="Calibri" w:cs="Calibri" w:eastAsia="Calibri" w:hAnsi="Calibri"/>
        </w:rPr>
        <w:t xml:space="preserve">. Nursing hours follow automatically, from 124,100 to 136,510, and paid FTEs rise from about 67 to 74.2, for a labor cost of </w:t>
      </w:r>
      <w:r>
        <w:rPr>
          <w:rFonts w:ascii="Calibri" w:cs="Calibri" w:eastAsia="Calibri" w:hAnsi="Calibri"/>
          <w:b/>
          <w:bCs/>
          <w:color w:val="0B2540"/>
        </w:rPr>
        <w:t xml:space="preserve">$8.31M</w:t>
      </w:r>
      <w:r>
        <w:rPr>
          <w:rFonts w:ascii="Calibri" w:cs="Calibri" w:eastAsia="Calibri" w:hAnsi="Calibri"/>
        </w:rPr>
        <w:t xml:space="preserve">. The ICU needs roughly twice Med-Surg's hours per patient day, so the same percentage change has a much larger staffing effect.</w:t>
      </w:r>
    </w:p>
    <w:p>
      <w:pPr>
        <w:keepNext/>
        <w:spacing w:after="60" w:before="240"/>
        <w:jc w:val="center"/>
      </w:pPr>
      <w:r>
        <w:drawing>
          <wp:inline distT="0" distB="0" distL="0" distR="0">
            <wp:extent cx="5715000" cy="2124075"/>
            <wp:effectExtent t="0" r="0" b="0" l="0"/>
            <wp:docPr id="1" name="Figure 7" descr="The +10% scenario tab. Each changed cell carries a 10% tag, and nursing hours, paid FTEs and labor cost update togeth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24075"/>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7. </w:t>
      </w:r>
      <w:r>
        <w:rPr>
          <w:rFonts w:ascii="Calibri" w:cs="Calibri" w:eastAsia="Calibri" w:hAnsi="Calibri"/>
          <w:i w:val="false"/>
          <w:iCs w:val="false"/>
          <w:color w:val="5B6B7B"/>
          <w:sz w:val="18"/>
          <w:szCs w:val="18"/>
        </w:rPr>
        <w:t xml:space="preserve">The +10% scenario tab. Each changed cell carries a 10% tag, and nursing hours, paid FTEs and labor cost update together.</w:t>
      </w:r>
    </w:p>
    <w:p>
      <w:pPr>
        <w:pStyle w:val="Heading1"/>
        <w:spacing w:after="160" w:before="480"/>
      </w:pPr>
      <w:r>
        <w:rPr>
          <w:rFonts w:ascii="Calibri" w:cs="Calibri" w:eastAsia="Calibri" w:hAnsi="Calibri"/>
          <w:color w:val="0E7C86"/>
        </w:rPr>
        <w:t xml:space="preserve">08  </w:t>
      </w:r>
      <w:r>
        <w:rPr>
          <w:rFonts w:ascii="Calibri" w:cs="Calibri" w:eastAsia="Calibri" w:hAnsi="Calibri"/>
        </w:rPr>
        <w:t xml:space="preserve">The non-obvious insight: seasonality, not totals</w:t>
      </w:r>
    </w:p>
    <w:p>
      <w:pPr>
        <w:spacing w:after="160" w:line="300"/>
      </w:pPr>
      <w:r>
        <w:rPr>
          <w:rFonts w:ascii="Calibri" w:cs="Calibri" w:eastAsia="Calibri" w:hAnsi="Calibri"/>
        </w:rPr>
        <w:t xml:space="preserve">The respiratory-surge scenario adds 20% volume on seven units for three winter months. Across the year, that is only </w:t>
      </w:r>
      <w:r>
        <w:rPr>
          <w:rFonts w:ascii="Calibri" w:cs="Calibri" w:eastAsia="Calibri" w:hAnsi="Calibri"/>
          <w:b/>
          <w:bCs/>
          <w:color w:val="0B2540"/>
        </w:rPr>
        <w:t xml:space="preserve">3.6% more patient days</w:t>
      </w:r>
      <w:r>
        <w:rPr>
          <w:rFonts w:ascii="Calibri" w:cs="Calibri" w:eastAsia="Calibri" w:hAnsi="Calibri"/>
        </w:rPr>
        <w:t xml:space="preserve">, which looks manageable on an annual budget. The monthly view tells a different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10"/>
      </w:tblGrid>
      <w:tr>
        <w:tc>
          <w:tcPr>
            <w:tcW w:type="dxa" w:w="3008"/>
            <w:tcBorders>
              <w:top w:val="none" w:color="FFFFFF" w:sz="0"/>
              <w:left w:val="none" w:color="FFFFFF" w:sz="0"/>
              <w:bottom w:val="none" w:color="FFFFFF" w:sz="0"/>
              <w:right w:val="single" w:color="FFFFFF" w:sz="6"/>
            </w:tcBorders>
            <w:shd w:fill="0B2540" w:color="auto" w:val="clear"/>
            <w:tcMar>
              <w:top w:type="dxa" w:w="220"/>
              <w:left w:type="dxa" w:w="200"/>
              <w:bottom w:type="dxa" w:w="220"/>
              <w:right w:type="dxa" w:w="160"/>
            </w:tcMar>
          </w:tcPr>
          <w:p>
            <w:pPr>
              <w:spacing w:after="40"/>
            </w:pPr>
            <w:r>
              <w:rPr>
                <w:rFonts w:ascii="Calibri" w:cs="Calibri" w:eastAsia="Calibri" w:hAnsi="Calibri"/>
                <w:b/>
                <w:bCs/>
                <w:color w:val="7FE3EC"/>
                <w:sz w:val="36"/>
                <w:szCs w:val="36"/>
              </w:rPr>
              <w:t xml:space="preserve">+3,420</w:t>
            </w:r>
          </w:p>
          <w:p>
            <w:r>
              <w:rPr>
                <w:rFonts w:ascii="Calibri" w:cs="Calibri" w:eastAsia="Calibri" w:hAnsi="Calibri"/>
                <w:color w:val="FFFFFF"/>
                <w:sz w:val="17"/>
                <w:szCs w:val="17"/>
              </w:rPr>
              <w:t xml:space="preserve">additional patient days in the year</w:t>
            </w:r>
          </w:p>
        </w:tc>
        <w:tc>
          <w:tcPr>
            <w:tcW w:type="dxa" w:w="3008"/>
            <w:tcBorders>
              <w:top w:val="none" w:color="FFFFFF" w:sz="0"/>
              <w:left w:val="none" w:color="FFFFFF" w:sz="0"/>
              <w:bottom w:val="none" w:color="FFFFFF" w:sz="0"/>
              <w:right w:val="single" w:color="FFFFFF" w:sz="6"/>
            </w:tcBorders>
            <w:shd w:fill="0B2540" w:color="auto" w:val="clear"/>
            <w:tcMar>
              <w:top w:type="dxa" w:w="220"/>
              <w:left w:type="dxa" w:w="200"/>
              <w:bottom w:type="dxa" w:w="220"/>
              <w:right w:type="dxa" w:w="160"/>
            </w:tcMar>
          </w:tcPr>
          <w:p>
            <w:pPr>
              <w:spacing w:after="40"/>
            </w:pPr>
            <w:r>
              <w:rPr>
                <w:rFonts w:ascii="Calibri" w:cs="Calibri" w:eastAsia="Calibri" w:hAnsi="Calibri"/>
                <w:b/>
                <w:bCs/>
                <w:color w:val="7FE3EC"/>
                <w:sz w:val="36"/>
                <w:szCs w:val="36"/>
              </w:rPr>
              <w:t xml:space="preserve">≈76</w:t>
            </w:r>
          </w:p>
          <w:p>
            <w:r>
              <w:rPr>
                <w:rFonts w:ascii="Calibri" w:cs="Calibri" w:eastAsia="Calibri" w:hAnsi="Calibri"/>
                <w:color w:val="FFFFFF"/>
                <w:sz w:val="17"/>
                <w:szCs w:val="17"/>
              </w:rPr>
              <w:t xml:space="preserve">extra FTEs a month during the surge</w:t>
            </w:r>
          </w:p>
        </w:tc>
        <w:tc>
          <w:tcPr>
            <w:tcW w:type="dxa" w:w="3010"/>
            <w:tcBorders>
              <w:top w:val="none" w:color="FFFFFF" w:sz="0"/>
              <w:left w:val="none" w:color="FFFFFF" w:sz="0"/>
              <w:bottom w:val="none" w:color="FFFFFF" w:sz="0"/>
              <w:right w:val="none" w:color="FFFFFF" w:sz="0"/>
            </w:tcBorders>
            <w:shd w:fill="0B2540" w:color="auto" w:val="clear"/>
            <w:tcMar>
              <w:top w:type="dxa" w:w="220"/>
              <w:left w:type="dxa" w:w="200"/>
              <w:bottom w:type="dxa" w:w="220"/>
              <w:right w:type="dxa" w:w="160"/>
            </w:tcMar>
          </w:tcPr>
          <w:p>
            <w:pPr>
              <w:spacing w:after="40"/>
            </w:pPr>
            <w:r>
              <w:rPr>
                <w:rFonts w:ascii="Calibri" w:cs="Calibri" w:eastAsia="Calibri" w:hAnsi="Calibri"/>
                <w:b/>
                <w:bCs/>
                <w:color w:val="7FE3EC"/>
                <w:sz w:val="36"/>
                <w:szCs w:val="36"/>
              </w:rPr>
              <w:t xml:space="preserve">≈+$2.1M</w:t>
            </w:r>
          </w:p>
          <w:p>
            <w:r>
              <w:rPr>
                <w:rFonts w:ascii="Calibri" w:cs="Calibri" w:eastAsia="Calibri" w:hAnsi="Calibri"/>
                <w:color w:val="FFFFFF"/>
                <w:sz w:val="17"/>
                <w:szCs w:val="17"/>
              </w:rPr>
              <w:t xml:space="preserve">additional labor, concentrated in Dec–Feb</w:t>
            </w:r>
          </w:p>
        </w:tc>
      </w:tr>
    </w:tbl>
    <w:p>
      <w:pPr>
        <w:spacing w:after="120"/>
      </w:pPr>
    </w:p>
    <w:p>
      <w:pPr>
        <w:keepNext/>
        <w:spacing w:after="60" w:before="240"/>
        <w:jc w:val="center"/>
      </w:pPr>
      <w:r>
        <w:drawing>
          <wp:inline distT="0" distB="0" distL="0" distR="0">
            <wp:extent cx="5715000" cy="2000250"/>
            <wp:effectExtent t="0" r="0" b="0" l="0"/>
            <wp:docPr id="1" name="Figure 8" descr="Respiratory surge, Q1 2027. January alone requires 479.60 paid FTEs across the seven surge unit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0250"/>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8. </w:t>
      </w:r>
      <w:r>
        <w:rPr>
          <w:rFonts w:ascii="Calibri" w:cs="Calibri" w:eastAsia="Calibri" w:hAnsi="Calibri"/>
          <w:i w:val="false"/>
          <w:iCs w:val="false"/>
          <w:color w:val="5B6B7B"/>
          <w:sz w:val="18"/>
          <w:szCs w:val="18"/>
        </w:rPr>
        <w:t xml:space="preserve">Respiratory surge, Q1 2027. January alone requires 479.60 paid FTEs across the seven surge units.</w:t>
      </w:r>
    </w:p>
    <w:p>
      <w:pPr>
        <w:pStyle w:val="Heading2"/>
        <w:spacing w:after="120" w:before="280"/>
      </w:pPr>
      <w:r>
        <w:rPr>
          <w:rFonts w:ascii="Calibri" w:cs="Calibri" w:eastAsia="Calibri" w:hAnsi="Calibri"/>
        </w:rPr>
        <w:t xml:space="preserve">The capacity check changes the conversation</w:t>
      </w:r>
    </w:p>
    <w:p>
      <w:pPr>
        <w:keepNext/>
        <w:spacing w:after="160" w:line="300"/>
      </w:pPr>
      <w:r>
        <w:rPr>
          <w:rFonts w:ascii="Calibri" w:cs="Calibri" w:eastAsia="Calibri" w:hAnsi="Calibri"/>
        </w:rPr>
        <w:t xml:space="preserve">When surge census is compared with staffed beds, four units run well beyond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2000"/>
        <w:gridCol w:w="1900"/>
        <w:gridCol w:w="1900"/>
      </w:tblGrid>
      <w:tr>
        <w:trPr>
          <w:tblHeader/>
        </w:trPr>
        <w:tc>
          <w:tcPr>
            <w:tcW w:type="dxa" w:w="32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Unit</w:t>
            </w:r>
          </w:p>
        </w:tc>
        <w:tc>
          <w:tcPr>
            <w:tcW w:type="dxa" w:w="20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Patients per day</w:t>
            </w:r>
          </w:p>
        </w:tc>
        <w:tc>
          <w:tcPr>
            <w:tcW w:type="dxa" w:w="19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Staffed beds</w:t>
            </w:r>
          </w:p>
        </w:tc>
        <w:tc>
          <w:tcPr>
            <w:tcW w:type="dxa" w:w="19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Occupancy</w:t>
            </w:r>
          </w:p>
        </w:tc>
      </w:tr>
      <w:tr>
        <w:trPr>
          <w:cantSplit/>
        </w:trPr>
        <w:tc>
          <w:tcPr>
            <w:tcW w:type="dxa" w:w="32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Med-Surg 3 East</w:t>
            </w:r>
          </w:p>
        </w:tc>
        <w:tc>
          <w:tcPr>
            <w:tcW w:type="dxa" w:w="20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39</w:t>
            </w:r>
          </w:p>
        </w:tc>
        <w:tc>
          <w:tcPr>
            <w:tcW w:type="dxa" w:w="1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32</w:t>
            </w:r>
          </w:p>
        </w:tc>
        <w:tc>
          <w:tcPr>
            <w:tcW w:type="dxa" w:w="1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≈122%</w:t>
            </w:r>
          </w:p>
        </w:tc>
      </w:tr>
      <w:tr>
        <w:trPr>
          <w:cantSplit/>
        </w:trPr>
        <w:tc>
          <w:tcPr>
            <w:tcW w:type="dxa" w:w="32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Med-Surg 3 West</w:t>
            </w:r>
          </w:p>
        </w:tc>
        <w:tc>
          <w:tcPr>
            <w:tcW w:type="dxa" w:w="20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39</w:t>
            </w:r>
          </w:p>
        </w:tc>
        <w:tc>
          <w:tcPr>
            <w:tcW w:type="dxa" w:w="19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32</w:t>
            </w:r>
          </w:p>
        </w:tc>
        <w:tc>
          <w:tcPr>
            <w:tcW w:type="dxa" w:w="19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≈122%</w:t>
            </w:r>
          </w:p>
        </w:tc>
      </w:tr>
      <w:tr>
        <w:trPr>
          <w:cantSplit/>
        </w:trPr>
        <w:tc>
          <w:tcPr>
            <w:tcW w:type="dxa" w:w="32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Telemetry</w:t>
            </w:r>
          </w:p>
        </w:tc>
        <w:tc>
          <w:tcPr>
            <w:tcW w:type="dxa" w:w="20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42</w:t>
            </w:r>
          </w:p>
        </w:tc>
        <w:tc>
          <w:tcPr>
            <w:tcW w:type="dxa" w:w="1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36</w:t>
            </w:r>
          </w:p>
        </w:tc>
        <w:tc>
          <w:tcPr>
            <w:tcW w:type="dxa" w:w="1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≈117%</w:t>
            </w:r>
          </w:p>
        </w:tc>
      </w:tr>
      <w:tr>
        <w:trPr>
          <w:cantSplit/>
        </w:trPr>
        <w:tc>
          <w:tcPr>
            <w:tcW w:type="dxa" w:w="32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ICU</w:t>
            </w:r>
          </w:p>
        </w:tc>
        <w:tc>
          <w:tcPr>
            <w:tcW w:type="dxa" w:w="20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27</w:t>
            </w:r>
          </w:p>
        </w:tc>
        <w:tc>
          <w:tcPr>
            <w:tcW w:type="dxa" w:w="19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24</w:t>
            </w:r>
          </w:p>
        </w:tc>
        <w:tc>
          <w:tcPr>
            <w:tcW w:type="dxa" w:w="19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≈112%</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2410C" w:sz="24"/>
              <w:bottom w:val="none" w:color="FFFFFF" w:sz="0"/>
              <w:right w:val="none" w:color="FFFFFF" w:sz="0"/>
            </w:tcBorders>
            <w:shd w:fill="EEF5F6" w:color="auto" w:val="clear"/>
            <w:tcMar>
              <w:top w:type="dxa" w:w="200"/>
              <w:left w:type="dxa" w:w="280"/>
              <w:bottom w:type="dxa" w:w="200"/>
              <w:right w:type="dxa" w:w="280"/>
            </w:tcMar>
          </w:tcPr>
          <w:p>
            <w:pPr>
              <w:spacing w:after="80"/>
            </w:pPr>
            <w:r>
              <w:rPr>
                <w:rFonts w:ascii="Calibri" w:cs="Calibri" w:eastAsia="Calibri" w:hAnsi="Calibri"/>
                <w:b/>
                <w:bCs/>
                <w:color w:val="0B2540"/>
                <w:sz w:val="24"/>
                <w:szCs w:val="24"/>
              </w:rPr>
              <w:t xml:space="preserve">This is not only a staffing problem</w:t>
            </w:r>
          </w:p>
          <w:p>
            <w:pPr>
              <w:spacing w:after="0" w:line="290"/>
            </w:pPr>
            <w:r>
              <w:rPr>
                <w:rFonts w:ascii="Calibri" w:cs="Calibri" w:eastAsia="Calibri" w:hAnsi="Calibri"/>
              </w:rPr>
              <w:t xml:space="preserve">At surge levels the hospital would run out of beds. The right response is to plan overflow units, diversion protocols and agency cover before winter, not simply to hire more nurses.</w:t>
            </w:r>
          </w:p>
        </w:tc>
      </w:tr>
    </w:tbl>
    <w:p>
      <w:pPr>
        <w:pStyle w:val="Heading1"/>
        <w:spacing w:after="160" w:before="480"/>
      </w:pPr>
      <w:r>
        <w:rPr>
          <w:rFonts w:ascii="Calibri" w:cs="Calibri" w:eastAsia="Calibri" w:hAnsi="Calibri"/>
          <w:color w:val="0E7C86"/>
        </w:rPr>
        <w:t xml:space="preserve">09  </w:t>
      </w:r>
      <w:r>
        <w:rPr>
          <w:rFonts w:ascii="Calibri" w:cs="Calibri" w:eastAsia="Calibri" w:hAnsi="Calibri"/>
        </w:rPr>
        <w:t xml:space="preserve">The plan becomes a decision system</w:t>
      </w:r>
    </w:p>
    <w:p>
      <w:pPr>
        <w:keepNext/>
        <w:spacing w:after="160" w:line="300"/>
      </w:pPr>
      <w:r>
        <w:rPr>
          <w:rFonts w:ascii="Calibri" w:cs="Calibri" w:eastAsia="Calibri" w:hAnsi="Calibri"/>
        </w:rPr>
        <w:t xml:space="preserve">All scenarios sit side by side in a single Compare view, using the same drivers and the same formulas.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6"/>
        <w:gridCol w:w="1400"/>
        <w:gridCol w:w="1400"/>
        <w:gridCol w:w="1500"/>
        <w:gridCol w:w="2100"/>
      </w:tblGrid>
      <w:tr>
        <w:trPr>
          <w:tblHeader/>
        </w:trPr>
        <w:tc>
          <w:tcPr>
            <w:tcW w:type="dxa" w:w="26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2027, all inpatient units</w:t>
            </w:r>
          </w:p>
        </w:tc>
        <w:tc>
          <w:tcPr>
            <w:tcW w:type="dxa" w:w="14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−5%</w:t>
            </w:r>
          </w:p>
        </w:tc>
        <w:tc>
          <w:tcPr>
            <w:tcW w:type="dxa" w:w="14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Base</w:t>
            </w:r>
          </w:p>
        </w:tc>
        <w:tc>
          <w:tcPr>
            <w:tcW w:type="dxa" w:w="15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+10%</w:t>
            </w:r>
          </w:p>
        </w:tc>
        <w:tc>
          <w:tcPr>
            <w:tcW w:type="dxa" w:w="21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right"/>
            </w:pPr>
            <w:r>
              <w:rPr>
                <w:rFonts w:ascii="Calibri" w:cs="Calibri" w:eastAsia="Calibri" w:hAnsi="Calibri"/>
                <w:b/>
                <w:bCs/>
                <w:color w:val="FFFFFF"/>
                <w:sz w:val="19"/>
                <w:szCs w:val="19"/>
              </w:rPr>
              <w:t xml:space="preserve">Surge</w:t>
            </w:r>
          </w:p>
        </w:tc>
      </w:tr>
      <w:tr>
        <w:trPr>
          <w:cantSplit/>
        </w:trPr>
        <w:tc>
          <w:tcPr>
            <w:tcW w:type="dxa" w:w="26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Patient days</w:t>
            </w:r>
          </w:p>
        </w:tc>
        <w:tc>
          <w:tcPr>
            <w:tcW w:type="dxa" w:w="1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89,470</w:t>
            </w:r>
          </w:p>
        </w:tc>
        <w:tc>
          <w:tcPr>
            <w:tcW w:type="dxa" w:w="1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94,180</w:t>
            </w:r>
          </w:p>
        </w:tc>
        <w:tc>
          <w:tcPr>
            <w:tcW w:type="dxa" w:w="15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103,600</w:t>
            </w:r>
          </w:p>
        </w:tc>
        <w:tc>
          <w:tcPr>
            <w:tcW w:type="dxa" w:w="21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97,600</w:t>
            </w:r>
          </w:p>
        </w:tc>
      </w:tr>
      <w:tr>
        <w:trPr>
          <w:cantSplit/>
        </w:trPr>
        <w:tc>
          <w:tcPr>
            <w:tcW w:type="dxa" w:w="26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Nursing hours</w:t>
            </w:r>
          </w:p>
        </w:tc>
        <w:tc>
          <w:tcPr>
            <w:tcW w:type="dxa" w:w="1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≈898,000</w:t>
            </w:r>
          </w:p>
        </w:tc>
        <w:tc>
          <w:tcPr>
            <w:tcW w:type="dxa" w:w="1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≈945,000</w:t>
            </w:r>
          </w:p>
        </w:tc>
        <w:tc>
          <w:tcPr>
            <w:tcW w:type="dxa" w:w="15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≈1,040,000</w:t>
            </w:r>
          </w:p>
        </w:tc>
        <w:tc>
          <w:tcPr>
            <w:tcW w:type="dxa" w:w="21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≈980,000</w:t>
            </w:r>
          </w:p>
        </w:tc>
      </w:tr>
      <w:tr>
        <w:trPr>
          <w:cantSplit/>
        </w:trPr>
        <w:tc>
          <w:tcPr>
            <w:tcW w:type="dxa" w:w="26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Paid FTEs (average)</w:t>
            </w:r>
          </w:p>
        </w:tc>
        <w:tc>
          <w:tcPr>
            <w:tcW w:type="dxa" w:w="1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≈488</w:t>
            </w:r>
          </w:p>
        </w:tc>
        <w:tc>
          <w:tcPr>
            <w:tcW w:type="dxa" w:w="14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≈514</w:t>
            </w:r>
          </w:p>
        </w:tc>
        <w:tc>
          <w:tcPr>
            <w:tcW w:type="dxa" w:w="15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≈565</w:t>
            </w:r>
          </w:p>
        </w:tc>
        <w:tc>
          <w:tcPr>
            <w:tcW w:type="dxa" w:w="21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right"/>
            </w:pPr>
            <w:r>
              <w:rPr>
                <w:rFonts w:ascii="Calibri" w:cs="Calibri" w:eastAsia="Calibri" w:hAnsi="Calibri"/>
                <w:b w:val="false"/>
                <w:bCs w:val="false"/>
                <w:color w:val="1F2933"/>
                <w:sz w:val="20"/>
                <w:szCs w:val="20"/>
              </w:rPr>
              <w:t xml:space="preserve">+76 in surge months</w:t>
            </w:r>
          </w:p>
        </w:tc>
      </w:tr>
      <w:tr>
        <w:trPr>
          <w:cantSplit/>
        </w:trPr>
        <w:tc>
          <w:tcPr>
            <w:tcW w:type="dxa" w:w="26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Labor cost</w:t>
            </w:r>
          </w:p>
        </w:tc>
        <w:tc>
          <w:tcPr>
            <w:tcW w:type="dxa" w:w="1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≈$54.6M</w:t>
            </w:r>
          </w:p>
        </w:tc>
        <w:tc>
          <w:tcPr>
            <w:tcW w:type="dxa" w:w="14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≈$57.5M</w:t>
            </w:r>
          </w:p>
        </w:tc>
        <w:tc>
          <w:tcPr>
            <w:tcW w:type="dxa" w:w="15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≈$63.3M</w:t>
            </w:r>
          </w:p>
        </w:tc>
        <w:tc>
          <w:tcPr>
            <w:tcW w:type="dxa" w:w="21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val="false"/>
              <w:jc w:val="right"/>
            </w:pPr>
            <w:r>
              <w:rPr>
                <w:rFonts w:ascii="Calibri" w:cs="Calibri" w:eastAsia="Calibri" w:hAnsi="Calibri"/>
                <w:b w:val="false"/>
                <w:bCs w:val="false"/>
                <w:color w:val="1F2933"/>
                <w:sz w:val="20"/>
                <w:szCs w:val="20"/>
              </w:rPr>
              <w:t xml:space="preserve">≈$59.6M</w:t>
            </w:r>
          </w:p>
        </w:tc>
      </w:tr>
    </w:tbl>
    <w:p>
      <w:pPr>
        <w:spacing w:after="160"/>
      </w:pPr>
    </w:p>
    <w:p>
      <w:pPr>
        <w:spacing w:after="160" w:line="300"/>
      </w:pPr>
      <w:r>
        <w:rPr>
          <w:rFonts w:ascii="Calibri" w:cs="Calibri" w:eastAsia="Calibri" w:hAnsi="Calibri"/>
        </w:rPr>
        <w:t xml:space="preserve">The surge adds the least volume of the growth scenarios, yet it is the hardest to staff, because the demand lands in three months. That insight is invisible in an annual dollar budget.</w:t>
      </w:r>
    </w:p>
    <w:p>
      <w:pPr>
        <w:keepNext/>
        <w:spacing w:after="60" w:before="240"/>
        <w:jc w:val="center"/>
      </w:pPr>
      <w:r>
        <w:drawing>
          <wp:inline distT="0" distB="0" distL="0" distR="0">
            <wp:extent cx="5715000" cy="1790700"/>
            <wp:effectExtent t="0" r="0" b="0" l="0"/>
            <wp:docPr id="1" name="Figure 9" descr="The Compare view: base, +10%, −5% and respiratory surge side by side, with difference columns and percentage tags cell by cel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790700"/>
                    </a:xfrm>
                    <a:prstGeom prst="rect">
                      <a:avLst/>
                    </a:prstGeom>
                  </pic:spPr>
                </pic:pic>
              </a:graphicData>
            </a:graphic>
          </wp:inline>
        </w:drawing>
      </w:r>
    </w:p>
    <w:p>
      <w:pPr>
        <w:pBdr>
          <w:top w:val="single" w:color="D5DDE5" w:sz="4" w:space="6"/>
        </w:pBdr>
        <w:spacing w:after="280"/>
        <w:jc w:val="left"/>
      </w:pPr>
      <w:r>
        <w:rPr>
          <w:rFonts w:ascii="Calibri" w:cs="Calibri" w:eastAsia="Calibri" w:hAnsi="Calibri"/>
          <w:b/>
          <w:bCs/>
          <w:color w:val="0B2540"/>
          <w:sz w:val="18"/>
          <w:szCs w:val="18"/>
        </w:rPr>
        <w:t xml:space="preserve">Figure 9. </w:t>
      </w:r>
      <w:r>
        <w:rPr>
          <w:rFonts w:ascii="Calibri" w:cs="Calibri" w:eastAsia="Calibri" w:hAnsi="Calibri"/>
          <w:i w:val="false"/>
          <w:iCs w:val="false"/>
          <w:color w:val="5B6B7B"/>
          <w:sz w:val="18"/>
          <w:szCs w:val="18"/>
        </w:rPr>
        <w:t xml:space="preserve">The Compare view: base, +10%, −5% and respiratory surge side by side, with difference columns and percentage tags cell by cell.</w:t>
      </w:r>
    </w:p>
    <w:p>
      <w:pPr>
        <w:pStyle w:val="Heading1"/>
        <w:spacing w:after="160" w:before="480"/>
      </w:pPr>
      <w:r>
        <w:rPr>
          <w:rFonts w:ascii="Calibri" w:cs="Calibri" w:eastAsia="Calibri" w:hAnsi="Calibri"/>
          <w:color w:val="0E7C86"/>
        </w:rPr>
        <w:t xml:space="preserve">10  </w:t>
      </w:r>
      <w:r>
        <w:rPr>
          <w:rFonts w:ascii="Calibri" w:cs="Calibri" w:eastAsia="Calibri" w:hAnsi="Calibri"/>
        </w:rPr>
        <w:t xml:space="preserve">What this means for leadership</w:t>
      </w:r>
    </w:p>
    <w:p>
      <w:pPr>
        <w:keepNext/>
        <w:spacing w:after="160" w:line="300"/>
      </w:pPr>
      <w:r>
        <w:rPr>
          <w:rFonts w:ascii="Calibri" w:cs="Calibri" w:eastAsia="Calibri" w:hAnsi="Calibri"/>
        </w:rPr>
        <w:t xml:space="preserve">Driver-based planning gives each executive a direct answer to the question they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700"/>
        <w:gridCol w:w="4426"/>
      </w:tblGrid>
      <w:tr>
        <w:trPr>
          <w:tblHeader/>
        </w:trPr>
        <w:tc>
          <w:tcPr>
            <w:tcW w:type="dxa" w:w="19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Function</w:t>
            </w:r>
          </w:p>
        </w:tc>
        <w:tc>
          <w:tcPr>
            <w:tcW w:type="dxa" w:w="2700"/>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Question answered</w:t>
            </w:r>
          </w:p>
        </w:tc>
        <w:tc>
          <w:tcPr>
            <w:tcW w:type="dxa" w:w="4426"/>
            <w:tcBorders>
              <w:top w:val="none" w:color="FFFFFF" w:sz="0"/>
              <w:left w:val="none" w:color="FFFFFF" w:sz="0"/>
              <w:bottom w:val="single" w:color="D5DDE5" w:sz="4"/>
              <w:right w:val="none" w:color="FFFFFF" w:sz="0"/>
            </w:tcBorders>
            <w:shd w:fill="0B2540" w:color="auto" w:val="clear"/>
            <w:tcMar>
              <w:top w:type="dxa" w:w="90"/>
              <w:left w:type="dxa" w:w="120"/>
              <w:bottom w:type="dxa" w:w="90"/>
              <w:right w:type="dxa" w:w="120"/>
            </w:tcMar>
            <w:vAlign w:val="center"/>
          </w:tcPr>
          <w:p>
            <w:pPr>
              <w:keepNext/>
              <w:jc w:val="left"/>
            </w:pPr>
            <w:r>
              <w:rPr>
                <w:rFonts w:ascii="Calibri" w:cs="Calibri" w:eastAsia="Calibri" w:hAnsi="Calibri"/>
                <w:b/>
                <w:bCs/>
                <w:color w:val="FFFFFF"/>
                <w:sz w:val="19"/>
                <w:szCs w:val="19"/>
              </w:rPr>
              <w:t xml:space="preserve">How</w:t>
            </w:r>
          </w:p>
        </w:tc>
      </w:tr>
      <w:tr>
        <w:trPr>
          <w:cantSplit/>
        </w:trPr>
        <w:tc>
          <w:tcPr>
            <w:tcW w:type="dxa" w:w="1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Operations</w:t>
            </w:r>
          </w:p>
        </w:tc>
        <w:tc>
          <w:tcPr>
            <w:tcW w:type="dxa" w:w="27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What will demand do?</w:t>
            </w:r>
          </w:p>
        </w:tc>
        <w:tc>
          <w:tcPr>
            <w:tcW w:type="dxa" w:w="4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Forecast patient volume and see capacity pressure early</w:t>
            </w:r>
          </w:p>
        </w:tc>
      </w:tr>
      <w:tr>
        <w:trPr>
          <w:cantSplit/>
        </w:trPr>
        <w:tc>
          <w:tcPr>
            <w:tcW w:type="dxa" w:w="19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bCs/>
                <w:color w:val="1F2933"/>
                <w:sz w:val="20"/>
                <w:szCs w:val="20"/>
              </w:rPr>
              <w:t xml:space="preserve">Workforce</w:t>
            </w:r>
          </w:p>
        </w:tc>
        <w:tc>
          <w:tcPr>
            <w:tcW w:type="dxa" w:w="2700"/>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What will staffing require?</w:t>
            </w:r>
          </w:p>
        </w:tc>
        <w:tc>
          <w:tcPr>
            <w:tcW w:type="dxa" w:w="4426"/>
            <w:tcBorders>
              <w:top w:val="none" w:color="FFFFFF" w:sz="0"/>
              <w:left w:val="none" w:color="FFFFFF" w:sz="0"/>
              <w:bottom w:val="single" w:color="D5DDE5" w:sz="4"/>
              <w:right w:val="none" w:color="FFFFFF" w:sz="0"/>
            </w:tcBorders>
            <w:shd w:fill="F6F8FA" w:color="auto" w:val="clear"/>
            <w:tcMar>
              <w:top w:type="dxa" w:w="90"/>
              <w:left w:type="dxa" w:w="120"/>
              <w:bottom w:type="dxa" w:w="90"/>
              <w:right w:type="dxa" w:w="120"/>
            </w:tcMar>
            <w:vAlign w:val="center"/>
          </w:tcPr>
          <w:p>
            <w:pPr>
              <w:keepNext/>
              <w:jc w:val="left"/>
            </w:pPr>
            <w:r>
              <w:rPr>
                <w:rFonts w:ascii="Calibri" w:cs="Calibri" w:eastAsia="Calibri" w:hAnsi="Calibri"/>
                <w:b w:val="false"/>
                <w:bCs w:val="false"/>
                <w:color w:val="1F2933"/>
                <w:sz w:val="20"/>
                <w:szCs w:val="20"/>
              </w:rPr>
              <w:t xml:space="preserve">Translate demand into HPPD, hours and FTEs by unit and month</w:t>
            </w:r>
          </w:p>
        </w:tc>
      </w:tr>
      <w:tr>
        <w:trPr>
          <w:cantSplit/>
        </w:trPr>
        <w:tc>
          <w:tcPr>
            <w:tcW w:type="dxa" w:w="19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left"/>
            </w:pPr>
            <w:r>
              <w:rPr>
                <w:rFonts w:ascii="Calibri" w:cs="Calibri" w:eastAsia="Calibri" w:hAnsi="Calibri"/>
                <w:b/>
                <w:bCs/>
                <w:color w:val="1F2933"/>
                <w:sz w:val="20"/>
                <w:szCs w:val="20"/>
              </w:rPr>
              <w:t xml:space="preserve">Finance</w:t>
            </w:r>
          </w:p>
        </w:tc>
        <w:tc>
          <w:tcPr>
            <w:tcW w:type="dxa" w:w="2700"/>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left"/>
            </w:pPr>
            <w:r>
              <w:rPr>
                <w:rFonts w:ascii="Calibri" w:cs="Calibri" w:eastAsia="Calibri" w:hAnsi="Calibri"/>
                <w:b w:val="false"/>
                <w:bCs w:val="false"/>
                <w:color w:val="1F2933"/>
                <w:sz w:val="20"/>
                <w:szCs w:val="20"/>
              </w:rPr>
              <w:t xml:space="preserve">What will it cost?</w:t>
            </w:r>
          </w:p>
        </w:tc>
        <w:tc>
          <w:tcPr>
            <w:tcW w:type="dxa" w:w="4426"/>
            <w:tcBorders>
              <w:top w:val="none" w:color="FFFFFF" w:sz="0"/>
              <w:left w:val="none" w:color="FFFFFF" w:sz="0"/>
              <w:bottom w:val="single" w:color="D5DDE5" w:sz="4"/>
              <w:right w:val="none" w:color="FFFFFF" w:sz="0"/>
            </w:tcBorders>
            <w:tcMar>
              <w:top w:type="dxa" w:w="90"/>
              <w:left w:type="dxa" w:w="120"/>
              <w:bottom w:type="dxa" w:w="90"/>
              <w:right w:type="dxa" w:w="120"/>
            </w:tcMar>
            <w:vAlign w:val="center"/>
          </w:tcPr>
          <w:p>
            <w:pPr>
              <w:keepNext w:val="false"/>
              <w:jc w:val="left"/>
            </w:pPr>
            <w:r>
              <w:rPr>
                <w:rFonts w:ascii="Calibri" w:cs="Calibri" w:eastAsia="Calibri" w:hAnsi="Calibri"/>
                <w:b w:val="false"/>
                <w:bCs w:val="false"/>
                <w:color w:val="1F2933"/>
                <w:sz w:val="20"/>
                <w:szCs w:val="20"/>
              </w:rPr>
              <w:t xml:space="preserve">Turn the same drivers into labor dollars and scenario comparisons</w:t>
            </w:r>
          </w:p>
        </w:tc>
      </w:tr>
    </w:tbl>
    <w:p>
      <w:pPr>
        <w:spacing w:after="160"/>
      </w:pPr>
    </w:p>
    <w:p>
      <w:pPr>
        <w:pStyle w:val="Heading2"/>
        <w:spacing w:after="120" w:before="280"/>
      </w:pPr>
      <w:r>
        <w:rPr>
          <w:rFonts w:ascii="Calibri" w:cs="Calibri" w:eastAsia="Calibri" w:hAnsi="Calibri"/>
        </w:rPr>
        <w:t xml:space="preserve">Recommended next steps</w:t>
      </w:r>
    </w:p>
    <w:p>
      <w:pPr>
        <w:pStyle w:val="ListParagraph"/>
        <w:keepNext/>
        <w:numPr>
          <w:ilvl w:val="0"/>
          <w:numId w:val="3"/>
        </w:numPr>
        <w:spacing w:after="90" w:line="290"/>
      </w:pPr>
      <w:r>
        <w:rPr>
          <w:rFonts w:ascii="Calibri" w:cs="Calibri" w:eastAsia="Calibri" w:hAnsi="Calibri"/>
          <w:b/>
          <w:bCs/>
          <w:color w:val="0B2540"/>
        </w:rPr>
        <w:t xml:space="preserve">Adopt patient days as the primary planning driver</w:t>
      </w:r>
      <w:r>
        <w:rPr>
          <w:rFonts w:ascii="Calibri" w:cs="Calibri" w:eastAsia="Calibri" w:hAnsi="Calibri"/>
        </w:rPr>
        <w:t xml:space="preserve"> for inpatient labor, with HPPD targets owned by nursing leadership.</w:t>
      </w:r>
    </w:p>
    <w:p>
      <w:pPr>
        <w:pStyle w:val="ListParagraph"/>
        <w:keepNext/>
        <w:numPr>
          <w:ilvl w:val="0"/>
          <w:numId w:val="3"/>
        </w:numPr>
        <w:spacing w:after="90" w:line="290"/>
      </w:pPr>
      <w:r>
        <w:rPr>
          <w:rFonts w:ascii="Calibri" w:cs="Calibri" w:eastAsia="Calibri" w:hAnsi="Calibri"/>
          <w:b/>
          <w:bCs/>
          <w:color w:val="0B2540"/>
        </w:rPr>
        <w:t xml:space="preserve">Report variance by driver</w:t>
      </w:r>
      <w:r>
        <w:rPr>
          <w:rFonts w:ascii="Calibri" w:cs="Calibri" w:eastAsia="Calibri" w:hAnsi="Calibri"/>
        </w:rPr>
        <w:t xml:space="preserve"> (volume, staffing, rate) so each overrun has a named owner and a clear response.</w:t>
      </w:r>
    </w:p>
    <w:p>
      <w:pPr>
        <w:pStyle w:val="ListParagraph"/>
        <w:keepNext/>
        <w:numPr>
          <w:ilvl w:val="0"/>
          <w:numId w:val="3"/>
        </w:numPr>
        <w:spacing w:after="90" w:line="290"/>
      </w:pPr>
      <w:r>
        <w:rPr>
          <w:rFonts w:ascii="Calibri" w:cs="Calibri" w:eastAsia="Calibri" w:hAnsi="Calibri"/>
          <w:b/>
          <w:bCs/>
          <w:color w:val="0B2540"/>
        </w:rPr>
        <w:t xml:space="preserve">Run a winter-surge scenario before Q4</w:t>
      </w:r>
      <w:r>
        <w:rPr>
          <w:rFonts w:ascii="Calibri" w:cs="Calibri" w:eastAsia="Calibri" w:hAnsi="Calibri"/>
        </w:rPr>
        <w:t xml:space="preserve"> and pair it with a bed-capacity check to plan overflow and agency cover in advance.</w:t>
      </w:r>
    </w:p>
    <w:p>
      <w:pPr>
        <w:pStyle w:val="ListParagraph"/>
        <w:keepNext w:val="false"/>
        <w:numPr>
          <w:ilvl w:val="0"/>
          <w:numId w:val="3"/>
        </w:numPr>
        <w:spacing w:after="90" w:line="290"/>
      </w:pPr>
      <w:r>
        <w:rPr>
          <w:rFonts w:ascii="Calibri" w:cs="Calibri" w:eastAsia="Calibri" w:hAnsi="Calibri"/>
          <w:b/>
          <w:bCs/>
          <w:color w:val="0B2540"/>
        </w:rPr>
        <w:t xml:space="preserve">Keep the plan on one platform</w:t>
      </w:r>
      <w:r>
        <w:rPr>
          <w:rFonts w:ascii="Calibri" w:cs="Calibri" w:eastAsia="Calibri" w:hAnsi="Calibri"/>
        </w:rPr>
        <w:t xml:space="preserve"> so operational, workforce and financial reporting share a single semantic model.</w:t>
      </w:r>
    </w:p>
    <w:p>
      <w:pPr>
        <w:pStyle w:val="Heading1"/>
        <w:spacing w:after="160" w:before="480"/>
      </w:pPr>
      <w:r>
        <w:rPr>
          <w:rFonts w:ascii="Calibri" w:cs="Calibri" w:eastAsia="Calibri" w:hAnsi="Calibri"/>
          <w:color w:val="0E7C86"/>
        </w:rPr>
        <w:t xml:space="preserve"/>
      </w:r>
      <w:r>
        <w:rPr>
          <w:rFonts w:ascii="Calibri" w:cs="Calibri" w:eastAsia="Calibri" w:hAnsi="Calibri"/>
        </w:rPr>
        <w:t xml:space="preserve">Conclusion</w:t>
      </w:r>
    </w:p>
    <w:p>
      <w:pPr>
        <w:spacing w:after="160" w:line="300"/>
      </w:pPr>
      <w:r>
        <w:rPr>
          <w:rFonts w:ascii="Calibri" w:cs="Calibri" w:eastAsia="Calibri" w:hAnsi="Calibri"/>
        </w:rPr>
        <w:t xml:space="preserve">Budgeting dollars tells leaders what was spent. Budgeting patients tells them why, and what will happen next. By forecasting the driver and letting the model calculate the consequence, operational assumptions become visible, owned and testable before they turn into financial surprises.</w:t>
      </w:r>
    </w:p>
    <w:p>
      <w:pPr>
        <w:spacing w:after="400" w:before="240"/>
      </w:pPr>
      <w:r>
        <w:rPr>
          <w:rFonts w:ascii="Calibri" w:cs="Calibri" w:eastAsia="Calibri" w:hAnsi="Calibri"/>
          <w:b/>
          <w:bCs/>
          <w:color w:val="0E7C86"/>
          <w:sz w:val="30"/>
          <w:szCs w:val="30"/>
        </w:rPr>
        <w:t xml:space="preserve">Move the driver. See the consequence.</w:t>
      </w:r>
    </w:p>
    <w:p>
      <w:pPr>
        <w:pBdr>
          <w:top w:val="single" w:color="D5DDE5" w:sz="4" w:space="8"/>
        </w:pBdr>
        <w:spacing w:before="200"/>
      </w:pPr>
      <w:r>
        <w:rPr>
          <w:rFonts w:ascii="Calibri" w:cs="Calibri" w:eastAsia="Calibri" w:hAnsi="Calibri"/>
          <w:b/>
          <w:bCs/>
          <w:color w:val="5B6B7B"/>
          <w:sz w:val="17"/>
          <w:szCs w:val="17"/>
        </w:rPr>
        <w:t xml:space="preserve">About the data: </w:t>
      </w:r>
      <w:r>
        <w:rPr>
          <w:rFonts w:ascii="Calibri" w:cs="Calibri" w:eastAsia="Calibri" w:hAnsi="Calibri"/>
          <w:color w:val="5B6B7B"/>
          <w:sz w:val="17"/>
          <w:szCs w:val="17"/>
        </w:rPr>
        <w:t xml:space="preserve">All figures in this article use the Contoso Health demo, a synthetic dataset representing a 300-bed hospital. Values marked ≈ are rounded.</w:t>
      </w:r>
    </w:p>
    <w:sectPr>
      <w:headerReference w:type="default" r:id="rId7"/>
      <w:headerReference w:type="first" r:id="rId8"/>
      <w:footerReference w:type="default" r:id="rId9"/>
      <w:footerReference w:type="first" r:id="rId10"/>
      <w:pgSz w:w="11906" w:h="16838"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B"/>
        <w:sz w:val="16"/>
        <w:szCs w:val="16"/>
      </w:rPr>
      <w:t xml:space="preserve">Budget Patients, Not Dollars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E7C86"/>
      </w:rPr>
    </w:lvl>
  </w:abstractNum>
  <w:abstractNum w:abstractNumId="3" w15:restartNumberingAfterBreak="0">
    <w:multiLevelType w:val="hybridMultilevel"/>
    <w:lvl w:ilvl="0" w15:tentative="1">
      <w:start w:val="1"/>
      <w:numFmt w:val="decimal"/>
      <w:lvlText w:val="%1."/>
      <w:lvlJc w:val="left"/>
      <w:pPr>
        <w:ind w:left="540" w:hanging="360"/>
      </w:pPr>
      <w:rPr>
        <w:b/>
        <w:bCs/>
        <w:color w:val="0E7C8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80"/>
      <w:outlineLvl w:val="0"/>
    </w:pPr>
    <w:rPr>
      <w:rFonts w:ascii="Calibri" w:cs="Calibri" w:eastAsia="Calibri" w:hAnsi="Calibri"/>
      <w:b/>
      <w:bCs/>
      <w:color w:val="0B2540"/>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3ba4d293a41c975dd559ae763e46f76a005cfb1.png"/><Relationship Id="rId12" Type="http://schemas.openxmlformats.org/officeDocument/2006/relationships/image" Target="media/076915a07582872e27233742ff305ea06864f9b1.png"/><Relationship Id="rId13" Type="http://schemas.openxmlformats.org/officeDocument/2006/relationships/image" Target="media/793d01b3a5fdc86e1c04fc65144733df7850f7c0.png"/><Relationship Id="rId14" Type="http://schemas.openxmlformats.org/officeDocument/2006/relationships/image" Target="media/9a60651b272a0d523a328eb8bb2d5890a5805505.png"/><Relationship Id="rId15" Type="http://schemas.openxmlformats.org/officeDocument/2006/relationships/image" Target="media/34f168710c69f7d260e5071c07a76717ffb0b998.png"/><Relationship Id="rId16" Type="http://schemas.openxmlformats.org/officeDocument/2006/relationships/image" Target="media/335634f14e2ef8dbc2c0d5f4775659ca5887dc1f.png"/><Relationship Id="rId17" Type="http://schemas.openxmlformats.org/officeDocument/2006/relationships/image" Target="media/b6638e8fde5ca4e64c38bf05e4506395ebf0e921.png"/><Relationship Id="rId18" Type="http://schemas.openxmlformats.org/officeDocument/2006/relationships/image" Target="media/d7a7c014627fea27d952bb1f0fb5b65c7c2a257e.png"/><Relationship Id="rId19" Type="http://schemas.openxmlformats.org/officeDocument/2006/relationships/image" Target="media/76448b0e73737bf4492b20801f6613a9922b6cb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Patients, Not Dollars</dc:title>
  <dc:description>Driver-based healthcare planning in Microsoft Fabric</dc:description>
  <cp:lastModifiedBy>Un-named</cp:lastModifiedBy>
  <cp:revision>1</cp:revision>
  <dcterms:created xsi:type="dcterms:W3CDTF">2026-10-06T09:40:59.168Z</dcterms:created>
  <dcterms:modified xsi:type="dcterms:W3CDTF">2026-10-06T09:40:59.168Z</dcterms:modified>
</cp:coreProperties>
</file>

<file path=docProps/custom.xml><?xml version="1.0" encoding="utf-8"?>
<Properties xmlns="http://schemas.openxmlformats.org/officeDocument/2006/custom-properties" xmlns:vt="http://schemas.openxmlformats.org/officeDocument/2006/docPropsVTypes"/>
</file>