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before="100" w:line="247.2" w:lineRule="auto"/>
        <w:ind w:left="340" w:firstLine="0"/>
        <w:jc w:val="both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ABSTRACT</w:t>
      </w:r>
    </w:p>
    <w:p w:rsidR="00000000" w:rsidDel="00000000" w:rsidP="00000000" w:rsidRDefault="00000000" w:rsidRPr="00000000" w14:paraId="00000002">
      <w:pPr>
        <w:spacing w:before="100" w:line="247.2" w:lineRule="auto"/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00" w:line="247.2" w:lineRule="auto"/>
        <w:ind w:left="3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00" w:line="247.2" w:lineRule="auto"/>
        <w:ind w:left="34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00" w:line="247.2" w:lineRule="auto"/>
        <w:ind w:left="34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paper first expounds the research status for artificial intelligence technology in medical imaging diagnosis, and illustrates the importance of computer-aided diagnosis with examples; Secondly, the current bottlenecks in the development of computer-aided diagnosis technology are analyzed in detail from the aspects of technology, industry and application; Finally, based on the previous analysis, the paper puts forward some suggestions on how to better use artificial intelligence technology in medical imaging diagnosis with reference to the current actual situations.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