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38"/>
          <w:szCs w:val="38"/>
          <w:rtl w:val="0"/>
        </w:rPr>
        <w:t xml:space="preserve">BIBLIOGRAPHY</w:t>
      </w:r>
    </w:p>
    <w:p w:rsidR="00000000" w:rsidDel="00000000" w:rsidP="00000000" w:rsidRDefault="00000000" w:rsidRPr="00000000" w14:paraId="00000002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tabs>
          <w:tab w:val="left" w:leader="none" w:pos="608"/>
        </w:tabs>
        <w:spacing w:before="84" w:line="246.99999999999994" w:lineRule="auto"/>
        <w:ind w:left="607" w:right="164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</w:t>
      </w:r>
      <w:r w:rsidDel="00000000" w:rsidR="00000000" w:rsidRPr="00000000">
        <w:rPr>
          <w:sz w:val="23"/>
          <w:szCs w:val="23"/>
          <w:rtl w:val="0"/>
        </w:rPr>
        <w:t xml:space="preserve">Sung H, Ferlay J, Siegel R L, et al. Global cancer statistics 2020: GLOBOCAN estimates of incidence and mortality worldwide for 36 cancers in 185 countries[J]. CA: a cancer journal for clinicians, 2021, 71(3): 209-249.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tabs>
          <w:tab w:val="left" w:leader="none" w:pos="608"/>
        </w:tabs>
        <w:spacing w:before="61" w:line="246.99999999999994" w:lineRule="auto"/>
        <w:ind w:left="607" w:right="160" w:hanging="374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Clinton S K, Giovannucci E L, Hursting S D. The world cancer research fund/American institute for cancer research third expert report on diet, nutrition, physical activity, and cancer: impact and future directions[J]. The Journal of nutrition, 2020, 150(4): 663-671.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tabs>
          <w:tab w:val="left" w:leader="none" w:pos="608"/>
        </w:tabs>
        <w:spacing w:before="61" w:line="246.99999999999994" w:lineRule="auto"/>
        <w:ind w:left="607" w:right="164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Chandy A. A review on iot based medical imaging technology for healthcare applications[J]. Journal of Innovative Image Processing (JIIP), 2019, 1(01): 51-60.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tabs>
          <w:tab w:val="left" w:leader="none" w:pos="608"/>
        </w:tabs>
        <w:spacing w:before="62" w:line="246.99999999999994" w:lineRule="auto"/>
        <w:ind w:left="607" w:right="165" w:hanging="374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Smith N B, Webb A. Introduction to medical imaging: physics, engineering and clinical applications[M]. Cambridge university press, 2010.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tabs>
          <w:tab w:val="left" w:leader="none" w:pos="608"/>
        </w:tabs>
        <w:spacing w:before="59" w:line="246.99999999999994" w:lineRule="auto"/>
        <w:ind w:left="607" w:right="164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Kasban H, El-Bendary M A M, Salama D H. A comparative study of medical imaging techniques[J]. International Journal of Information Science and Intelligent System, 2015, 4(2): 37-58.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608"/>
        </w:tabs>
        <w:spacing w:before="62" w:line="246.99999999999994" w:lineRule="auto"/>
        <w:ind w:left="607" w:right="160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Doi K. Computer-aided diagnosis in medical imaging: historical review, current status and future potential[J]. Computerized medical imaging and graphics, 2007, 31(4-5): 198-211.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tabs>
          <w:tab w:val="left" w:leader="none" w:pos="608"/>
        </w:tabs>
        <w:spacing w:before="59" w:line="246.99999999999994" w:lineRule="auto"/>
        <w:ind w:left="607" w:right="117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Zhou S K, Greenspan H, Davatzikos C, et al. A review of deep learning in medical imaging: Imaging traits, technology trends, case studies with progress highlights, and future promises[J]. Proceedings of the IEEE, 2021, 109(5): 820-838.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608"/>
        </w:tabs>
        <w:spacing w:before="61" w:line="246.99999999999994" w:lineRule="auto"/>
        <w:ind w:left="607" w:right="162" w:hanging="374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Han C, Rundo L, Murao K, et al. Bridging the gap between AI and healthcare sides: towards developing clinically relevant AI-powered diagnosis systems[C]//IFIP International Conference on Artificial Intelligence Applications and Innovations. Springer, Cham, 2020: 320-333.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608"/>
        </w:tabs>
        <w:spacing w:before="61" w:line="246.99999999999994" w:lineRule="auto"/>
        <w:ind w:left="607" w:right="164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Janiesch C, Zschech P, Heinrich K. Machine learning and deep learning[J]. Electronic Markets, 2021, 31(3): 685-695.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608"/>
        </w:tabs>
        <w:spacing w:before="61" w:line="246.99999999999994" w:lineRule="auto"/>
        <w:ind w:left="607" w:right="164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Fujita H. AI-based computer-aided diagnosis (AI-CAD): the latest review to read first[J]. Radiological physics and technology, 2020, 13(1): 6-19.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608"/>
        </w:tabs>
        <w:spacing w:before="61" w:line="246.99999999999994" w:lineRule="auto"/>
        <w:ind w:left="607" w:right="164" w:hanging="375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Cho J, Lee K, Shin E, et al. How much data is needed to train a medical image deep learning system to achieve necessary high accuracy?[J]. arXiv preprint  arXiv:1511.06348, 2015.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658"/>
        </w:tabs>
        <w:spacing w:before="66" w:line="246.99999999999994" w:lineRule="auto"/>
        <w:ind w:left="0" w:right="5283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[%1]"/>
      <w:lvlJc w:val="left"/>
      <w:pPr>
        <w:ind w:left="607" w:hanging="375"/>
      </w:pPr>
      <w:rPr>
        <w:rFonts w:ascii="Times New Roman" w:cs="Times New Roman" w:eastAsia="Times New Roman" w:hAnsi="Times New Roman"/>
        <w:sz w:val="19"/>
        <w:szCs w:val="19"/>
      </w:rPr>
    </w:lvl>
    <w:lvl w:ilvl="1">
      <w:start w:val="0"/>
      <w:numFmt w:val="bullet"/>
      <w:lvlText w:val="•"/>
      <w:lvlJc w:val="left"/>
      <w:pPr>
        <w:ind w:left="1057" w:hanging="375"/>
      </w:pPr>
      <w:rPr/>
    </w:lvl>
    <w:lvl w:ilvl="2">
      <w:start w:val="0"/>
      <w:numFmt w:val="bullet"/>
      <w:lvlText w:val="•"/>
      <w:lvlJc w:val="left"/>
      <w:pPr>
        <w:ind w:left="1515" w:hanging="375"/>
      </w:pPr>
      <w:rPr/>
    </w:lvl>
    <w:lvl w:ilvl="3">
      <w:start w:val="0"/>
      <w:numFmt w:val="bullet"/>
      <w:lvlText w:val="•"/>
      <w:lvlJc w:val="left"/>
      <w:pPr>
        <w:ind w:left="1973" w:hanging="375"/>
      </w:pPr>
      <w:rPr/>
    </w:lvl>
    <w:lvl w:ilvl="4">
      <w:start w:val="0"/>
      <w:numFmt w:val="bullet"/>
      <w:lvlText w:val="•"/>
      <w:lvlJc w:val="left"/>
      <w:pPr>
        <w:ind w:left="2431" w:hanging="375"/>
      </w:pPr>
      <w:rPr/>
    </w:lvl>
    <w:lvl w:ilvl="5">
      <w:start w:val="0"/>
      <w:numFmt w:val="bullet"/>
      <w:lvlText w:val="•"/>
      <w:lvlJc w:val="left"/>
      <w:pPr>
        <w:ind w:left="2889" w:hanging="375"/>
      </w:pPr>
      <w:rPr/>
    </w:lvl>
    <w:lvl w:ilvl="6">
      <w:start w:val="0"/>
      <w:numFmt w:val="bullet"/>
      <w:lvlText w:val="•"/>
      <w:lvlJc w:val="left"/>
      <w:pPr>
        <w:ind w:left="3347" w:hanging="375"/>
      </w:pPr>
      <w:rPr/>
    </w:lvl>
    <w:lvl w:ilvl="7">
      <w:start w:val="0"/>
      <w:numFmt w:val="bullet"/>
      <w:lvlText w:val="•"/>
      <w:lvlJc w:val="left"/>
      <w:pPr>
        <w:ind w:left="3805" w:hanging="375"/>
      </w:pPr>
      <w:rPr/>
    </w:lvl>
    <w:lvl w:ilvl="8">
      <w:start w:val="0"/>
      <w:numFmt w:val="bullet"/>
      <w:lvlText w:val="•"/>
      <w:lvlJc w:val="left"/>
      <w:pPr>
        <w:ind w:left="4263" w:hanging="37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