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sz w:val="30"/>
          <w:szCs w:val="30"/>
        </w:rPr>
      </w:pPr>
      <w:r w:rsidDel="00000000" w:rsidR="00000000" w:rsidRPr="00000000">
        <w:rPr>
          <w:b w:val="1"/>
          <w:sz w:val="30"/>
          <w:szCs w:val="30"/>
          <w:rtl w:val="0"/>
        </w:rPr>
        <w:t xml:space="preserve">                                LITERATURE SURVEY</w:t>
      </w:r>
    </w:p>
    <w:p w:rsidR="00000000" w:rsidDel="00000000" w:rsidP="00000000" w:rsidRDefault="00000000" w:rsidRPr="00000000" w14:paraId="00000002">
      <w:pPr>
        <w:ind w:left="0" w:firstLine="0"/>
        <w:rPr>
          <w:b w:val="1"/>
          <w:sz w:val="30"/>
          <w:szCs w:val="30"/>
        </w:rPr>
      </w:pPr>
      <w:r w:rsidDel="00000000" w:rsidR="00000000" w:rsidRPr="00000000">
        <w:rPr>
          <w:rtl w:val="0"/>
        </w:rPr>
      </w:r>
    </w:p>
    <w:p w:rsidR="00000000" w:rsidDel="00000000" w:rsidP="00000000" w:rsidRDefault="00000000" w:rsidRPr="00000000" w14:paraId="00000003">
      <w:pPr>
        <w:ind w:left="0" w:firstLine="0"/>
        <w:rPr>
          <w:b w:val="1"/>
          <w:sz w:val="30"/>
          <w:szCs w:val="30"/>
        </w:rPr>
      </w:pPr>
      <w:r w:rsidDel="00000000" w:rsidR="00000000" w:rsidRPr="00000000">
        <w:rPr>
          <w:rtl w:val="0"/>
        </w:rPr>
      </w:r>
    </w:p>
    <w:p w:rsidR="00000000" w:rsidDel="00000000" w:rsidP="00000000" w:rsidRDefault="00000000" w:rsidRPr="00000000" w14:paraId="00000004">
      <w:pPr>
        <w:ind w:left="0" w:firstLine="0"/>
        <w:rPr>
          <w:b w:val="1"/>
          <w:sz w:val="30"/>
          <w:szCs w:val="30"/>
        </w:rPr>
      </w:pPr>
      <w:r w:rsidDel="00000000" w:rsidR="00000000" w:rsidRPr="00000000">
        <w:rPr>
          <w:b w:val="1"/>
          <w:sz w:val="30"/>
          <w:szCs w:val="30"/>
          <w:rtl w:val="0"/>
        </w:rPr>
        <w:t xml:space="preserve">1.The world cancer research fund/American institute for cancer research third expert report on diet, nutrition, physical activity, and cancer: impact and future directions.The Journal of nutrition, 2020,</w:t>
      </w:r>
    </w:p>
    <w:p w:rsidR="00000000" w:rsidDel="00000000" w:rsidP="00000000" w:rsidRDefault="00000000" w:rsidRPr="00000000" w14:paraId="00000005">
      <w:pPr>
        <w:rPr>
          <w:b w:val="1"/>
          <w:sz w:val="30"/>
          <w:szCs w:val="3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Authors: Clinton S K, Giovannucci E L, Hursting S D. </w:t>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The Third Expert Report on Diet, Nutrition, Physical Activity, and Cancer: A Global Perspective by the World Cancer Research Fund (WCRF) and the American Institute for Cancer Research (AICR) represents the most comprehensive, detailed, and objective analysis of the accumulated research in the discipline. The report provides a framework for public health efforts around the globe by governments and other organizations with the goal of significantly reducing the burden of cancer, enhancing health, and improving quality of life for cancer survivors. Coupled with the WCRF/AICR Continuous Update Panel reports on specific cancers, these efforts also provide guidance to healthcare practitioners engaged in counseling individuals who may benefit from diet and lifestyle changes. Most critically, this report defines priorities for future research efforts that will improve the evidence base of future recommendations both for population-based public health efforts and increasingly for more personalized strategies targeting individuals who are cancer survivors or at risk due to genetic predisposition or carcinogenic exposures.</w:t>
      </w:r>
    </w:p>
    <w:p w:rsidR="00000000" w:rsidDel="00000000" w:rsidP="00000000" w:rsidRDefault="00000000" w:rsidRPr="00000000" w14:paraId="0000000C">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b w:val="1"/>
          <w:color w:val="212121"/>
          <w:sz w:val="30"/>
          <w:szCs w:val="30"/>
          <w:highlight w:val="white"/>
        </w:rPr>
      </w:pPr>
      <w:r w:rsidDel="00000000" w:rsidR="00000000" w:rsidRPr="00000000">
        <w:rPr>
          <w:rFonts w:ascii="Roboto" w:cs="Roboto" w:eastAsia="Roboto" w:hAnsi="Roboto"/>
          <w:b w:val="1"/>
          <w:color w:val="212121"/>
          <w:sz w:val="30"/>
          <w:szCs w:val="30"/>
          <w:highlight w:val="white"/>
          <w:rtl w:val="0"/>
        </w:rPr>
        <w:t xml:space="preserve">2. A review on iot based medical imaging technology for healthcare applications[J]. Journal of Innovative Image Processing (JIIP), 2019, 1(01): 51-60.</w:t>
      </w:r>
    </w:p>
    <w:p w:rsidR="00000000" w:rsidDel="00000000" w:rsidP="00000000" w:rsidRDefault="00000000" w:rsidRPr="00000000" w14:paraId="00000010">
      <w:pPr>
        <w:rPr>
          <w:rFonts w:ascii="Roboto" w:cs="Roboto" w:eastAsia="Roboto" w:hAnsi="Roboto"/>
          <w:b w:val="1"/>
          <w:color w:val="212121"/>
          <w:sz w:val="30"/>
          <w:szCs w:val="30"/>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b w:val="1"/>
          <w:color w:val="212121"/>
          <w:sz w:val="28"/>
          <w:szCs w:val="28"/>
          <w:highlight w:val="white"/>
        </w:rPr>
      </w:pPr>
      <w:r w:rsidDel="00000000" w:rsidR="00000000" w:rsidRPr="00000000">
        <w:rPr>
          <w:rFonts w:ascii="Roboto" w:cs="Roboto" w:eastAsia="Roboto" w:hAnsi="Roboto"/>
          <w:b w:val="1"/>
          <w:color w:val="212121"/>
          <w:sz w:val="28"/>
          <w:szCs w:val="28"/>
          <w:highlight w:val="white"/>
          <w:rtl w:val="0"/>
        </w:rPr>
        <w:t xml:space="preserve">Authors:  Chandy A.</w:t>
      </w:r>
    </w:p>
    <w:p w:rsidR="00000000" w:rsidDel="00000000" w:rsidP="00000000" w:rsidRDefault="00000000" w:rsidRPr="00000000" w14:paraId="00000012">
      <w:pPr>
        <w:rPr>
          <w:rFonts w:ascii="Roboto" w:cs="Roboto" w:eastAsia="Roboto" w:hAnsi="Roboto"/>
          <w:b w:val="1"/>
          <w:color w:val="212121"/>
          <w:sz w:val="28"/>
          <w:szCs w:val="28"/>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b w:val="1"/>
          <w:color w:val="212121"/>
          <w:sz w:val="28"/>
          <w:szCs w:val="28"/>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b w:val="1"/>
          <w:color w:val="212121"/>
          <w:sz w:val="28"/>
          <w:szCs w:val="28"/>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2e3743"/>
          <w:sz w:val="21"/>
          <w:szCs w:val="21"/>
          <w:shd w:fill="ebeced" w:val="clear"/>
        </w:rPr>
      </w:pPr>
      <w:r w:rsidDel="00000000" w:rsidR="00000000" w:rsidRPr="00000000">
        <w:rPr>
          <w:rFonts w:ascii="Roboto" w:cs="Roboto" w:eastAsia="Roboto" w:hAnsi="Roboto"/>
          <w:sz w:val="27"/>
          <w:szCs w:val="27"/>
          <w:rtl w:val="0"/>
        </w:rPr>
        <w:t xml:space="preserve">The usage of the IOT technology in the healthcare applications ensures the health care industries to enhance the quality of the care and minimize the expense with the automation and the resource optimization provided by it. The IOT in the medical imaging enables to have identification and the corrective measures to be taken in the real time with the auto analyzing of the imaging apparatus parameters at ease. Digitization reaching to many areas in the medical technology has also paved its way for the monitoring and the management of the medical equipment, the internet of things in the medical imaging would reduce the waiting time and the vexation for the patients as well as the physicians. So the paper presents the review on the internet of things based medical imaging technology for the health care applications providing the significance of the internet of things in the medical imaging technology</w:t>
      </w:r>
      <w:r w:rsidDel="00000000" w:rsidR="00000000" w:rsidRPr="00000000">
        <w:rPr>
          <w:rFonts w:ascii="Roboto" w:cs="Roboto" w:eastAsia="Roboto" w:hAnsi="Roboto"/>
          <w:color w:val="2e3743"/>
          <w:sz w:val="21"/>
          <w:szCs w:val="21"/>
          <w:rtl w:val="0"/>
        </w:rPr>
        <w:t xml:space="preserve">.</w:t>
      </w:r>
      <w:r w:rsidDel="00000000" w:rsidR="00000000" w:rsidRPr="00000000">
        <w:rPr>
          <w:rFonts w:ascii="Roboto" w:cs="Roboto" w:eastAsia="Roboto" w:hAnsi="Roboto"/>
          <w:color w:val="2e3743"/>
          <w:sz w:val="21"/>
          <w:szCs w:val="21"/>
          <w:shd w:fill="ebeced" w:val="clear"/>
          <w:rtl w:val="0"/>
        </w:rPr>
        <w:t xml:space="preserve"> </w:t>
      </w:r>
    </w:p>
    <w:p w:rsidR="00000000" w:rsidDel="00000000" w:rsidP="00000000" w:rsidRDefault="00000000" w:rsidRPr="00000000" w14:paraId="00000016">
      <w:pPr>
        <w:rPr>
          <w:rFonts w:ascii="Roboto" w:cs="Roboto" w:eastAsia="Roboto" w:hAnsi="Roboto"/>
          <w:color w:val="2e3743"/>
          <w:sz w:val="21"/>
          <w:szCs w:val="21"/>
          <w:shd w:fill="ebeced" w:val="clear"/>
        </w:rPr>
      </w:pPr>
      <w:r w:rsidDel="00000000" w:rsidR="00000000" w:rsidRPr="00000000">
        <w:rPr>
          <w:rtl w:val="0"/>
        </w:rPr>
      </w:r>
    </w:p>
    <w:p w:rsidR="00000000" w:rsidDel="00000000" w:rsidP="00000000" w:rsidRDefault="00000000" w:rsidRPr="00000000" w14:paraId="00000017">
      <w:pPr>
        <w:rPr>
          <w:rFonts w:ascii="Roboto" w:cs="Roboto" w:eastAsia="Roboto" w:hAnsi="Roboto"/>
          <w:color w:val="2e3743"/>
          <w:sz w:val="21"/>
          <w:szCs w:val="21"/>
          <w:shd w:fill="ebeced" w:val="clear"/>
        </w:rPr>
      </w:pPr>
      <w:r w:rsidDel="00000000" w:rsidR="00000000" w:rsidRPr="00000000">
        <w:rPr>
          <w:rtl w:val="0"/>
        </w:rPr>
      </w:r>
    </w:p>
    <w:p w:rsidR="00000000" w:rsidDel="00000000" w:rsidP="00000000" w:rsidRDefault="00000000" w:rsidRPr="00000000" w14:paraId="00000018">
      <w:pPr>
        <w:rPr>
          <w:rFonts w:ascii="Roboto" w:cs="Roboto" w:eastAsia="Roboto" w:hAnsi="Roboto"/>
          <w:color w:val="2e3743"/>
          <w:sz w:val="21"/>
          <w:szCs w:val="21"/>
          <w:shd w:fill="ebeced" w:val="clear"/>
        </w:rPr>
      </w:pPr>
      <w:r w:rsidDel="00000000" w:rsidR="00000000" w:rsidRPr="00000000">
        <w:rPr>
          <w:rtl w:val="0"/>
        </w:rPr>
      </w:r>
    </w:p>
    <w:p w:rsidR="00000000" w:rsidDel="00000000" w:rsidP="00000000" w:rsidRDefault="00000000" w:rsidRPr="00000000" w14:paraId="00000019">
      <w:pPr>
        <w:rPr>
          <w:rFonts w:ascii="Roboto" w:cs="Roboto" w:eastAsia="Roboto" w:hAnsi="Roboto"/>
          <w:color w:val="2e3743"/>
          <w:sz w:val="21"/>
          <w:szCs w:val="21"/>
          <w:shd w:fill="ebeced" w:val="clear"/>
        </w:rPr>
      </w:pPr>
      <w:r w:rsidDel="00000000" w:rsidR="00000000" w:rsidRPr="00000000">
        <w:rPr>
          <w:rtl w:val="0"/>
        </w:rPr>
      </w:r>
    </w:p>
    <w:p w:rsidR="00000000" w:rsidDel="00000000" w:rsidP="00000000" w:rsidRDefault="00000000" w:rsidRPr="00000000" w14:paraId="0000001A">
      <w:pPr>
        <w:rPr>
          <w:rFonts w:ascii="Roboto" w:cs="Roboto" w:eastAsia="Roboto" w:hAnsi="Roboto"/>
          <w:b w:val="1"/>
          <w:color w:val="2e3743"/>
          <w:sz w:val="31"/>
          <w:szCs w:val="31"/>
        </w:rPr>
      </w:pPr>
      <w:r w:rsidDel="00000000" w:rsidR="00000000" w:rsidRPr="00000000">
        <w:rPr>
          <w:rFonts w:ascii="Roboto" w:cs="Roboto" w:eastAsia="Roboto" w:hAnsi="Roboto"/>
          <w:b w:val="1"/>
          <w:color w:val="2e3743"/>
          <w:sz w:val="31"/>
          <w:szCs w:val="31"/>
          <w:rtl w:val="0"/>
        </w:rPr>
        <w:t xml:space="preserve">3.Introduction to medical imaging: physics, engineering and clinical applications[M]. Cambridge university press, 2010.</w:t>
      </w:r>
    </w:p>
    <w:p w:rsidR="00000000" w:rsidDel="00000000" w:rsidP="00000000" w:rsidRDefault="00000000" w:rsidRPr="00000000" w14:paraId="0000001B">
      <w:pPr>
        <w:rPr>
          <w:rFonts w:ascii="Roboto" w:cs="Roboto" w:eastAsia="Roboto" w:hAnsi="Roboto"/>
          <w:color w:val="2e3743"/>
          <w:sz w:val="21"/>
          <w:szCs w:val="21"/>
          <w:shd w:fill="ebeced" w:val="clear"/>
        </w:rPr>
      </w:pPr>
      <w:r w:rsidDel="00000000" w:rsidR="00000000" w:rsidRPr="00000000">
        <w:rPr>
          <w:rtl w:val="0"/>
        </w:rPr>
      </w:r>
    </w:p>
    <w:p w:rsidR="00000000" w:rsidDel="00000000" w:rsidP="00000000" w:rsidRDefault="00000000" w:rsidRPr="00000000" w14:paraId="0000001C">
      <w:pPr>
        <w:rPr>
          <w:rFonts w:ascii="Roboto" w:cs="Roboto" w:eastAsia="Roboto" w:hAnsi="Roboto"/>
          <w:b w:val="1"/>
          <w:color w:val="2e3743"/>
          <w:sz w:val="27"/>
          <w:szCs w:val="27"/>
        </w:rPr>
      </w:pPr>
      <w:r w:rsidDel="00000000" w:rsidR="00000000" w:rsidRPr="00000000">
        <w:rPr>
          <w:rFonts w:ascii="Roboto" w:cs="Roboto" w:eastAsia="Roboto" w:hAnsi="Roboto"/>
          <w:b w:val="1"/>
          <w:color w:val="2e3743"/>
          <w:sz w:val="27"/>
          <w:szCs w:val="27"/>
          <w:rtl w:val="0"/>
        </w:rPr>
        <w:t xml:space="preserve">Authors: Smith N B, Webb A.</w:t>
      </w:r>
    </w:p>
    <w:p w:rsidR="00000000" w:rsidDel="00000000" w:rsidP="00000000" w:rsidRDefault="00000000" w:rsidRPr="00000000" w14:paraId="0000001D">
      <w:pPr>
        <w:rPr>
          <w:rFonts w:ascii="Roboto" w:cs="Roboto" w:eastAsia="Roboto" w:hAnsi="Roboto"/>
          <w:b w:val="1"/>
          <w:color w:val="2e3743"/>
          <w:sz w:val="27"/>
          <w:szCs w:val="27"/>
        </w:rPr>
      </w:pPr>
      <w:r w:rsidDel="00000000" w:rsidR="00000000" w:rsidRPr="00000000">
        <w:rPr>
          <w:rtl w:val="0"/>
        </w:rPr>
      </w:r>
    </w:p>
    <w:p w:rsidR="00000000" w:rsidDel="00000000" w:rsidP="00000000" w:rsidRDefault="00000000" w:rsidRPr="00000000" w14:paraId="0000001E">
      <w:pPr>
        <w:rPr>
          <w:rFonts w:ascii="Roboto" w:cs="Roboto" w:eastAsia="Roboto" w:hAnsi="Roboto"/>
          <w:color w:val="2e3743"/>
          <w:sz w:val="27"/>
          <w:szCs w:val="27"/>
        </w:rPr>
      </w:pPr>
      <w:r w:rsidDel="00000000" w:rsidR="00000000" w:rsidRPr="00000000">
        <w:rPr>
          <w:rFonts w:ascii="Roboto" w:cs="Roboto" w:eastAsia="Roboto" w:hAnsi="Roboto"/>
          <w:color w:val="2e3743"/>
          <w:sz w:val="27"/>
          <w:szCs w:val="27"/>
          <w:rtl w:val="0"/>
        </w:rPr>
        <w:t xml:space="preserve">Covering the basics of X-rays, CT, PET, nuclear medicine, ultrasound, and MRI, this textbook provides senior undergraduate and beginning graduate students with a broad introduction to medical imaging. Over 130 end-of-chapter exercises are included, in addition to solved example problems, which enable students to master the theory as well as providing them with the tools needed to solve more difficult problems. The basic theory, instrumentation and state-of-the-art techniques and applications are covered, bringing students immediately up-to-date with recent developments, such as combined computed tomography/positron emission tomography, multi- slice CT, four-dimensional ultrasound, and parallel imaging MR technology. Clinical examples provide practical applications of physics and engineering knowledge to medicine. Finally, helpful references to specialized texts, recent review articles, and relevant scientific journals are provided at the end of each chapter, making this an ideal textbook for a one-semester course in medical imaging.</w:t>
      </w:r>
    </w:p>
    <w:p w:rsidR="00000000" w:rsidDel="00000000" w:rsidP="00000000" w:rsidRDefault="00000000" w:rsidRPr="00000000" w14:paraId="0000001F">
      <w:pPr>
        <w:rPr>
          <w:rFonts w:ascii="Roboto" w:cs="Roboto" w:eastAsia="Roboto" w:hAnsi="Roboto"/>
          <w:color w:val="2e3743"/>
          <w:sz w:val="27"/>
          <w:szCs w:val="27"/>
        </w:rPr>
      </w:pPr>
      <w:r w:rsidDel="00000000" w:rsidR="00000000" w:rsidRPr="00000000">
        <w:rPr>
          <w:rtl w:val="0"/>
        </w:rPr>
      </w:r>
    </w:p>
    <w:p w:rsidR="00000000" w:rsidDel="00000000" w:rsidP="00000000" w:rsidRDefault="00000000" w:rsidRPr="00000000" w14:paraId="00000020">
      <w:pPr>
        <w:rPr>
          <w:rFonts w:ascii="Roboto" w:cs="Roboto" w:eastAsia="Roboto" w:hAnsi="Roboto"/>
          <w:color w:val="2e3743"/>
          <w:sz w:val="27"/>
          <w:szCs w:val="27"/>
        </w:rPr>
      </w:pPr>
      <w:r w:rsidDel="00000000" w:rsidR="00000000" w:rsidRPr="00000000">
        <w:rPr>
          <w:rtl w:val="0"/>
        </w:rPr>
      </w:r>
    </w:p>
    <w:p w:rsidR="00000000" w:rsidDel="00000000" w:rsidP="00000000" w:rsidRDefault="00000000" w:rsidRPr="00000000" w14:paraId="00000021">
      <w:pPr>
        <w:rPr>
          <w:b w:val="1"/>
          <w:sz w:val="30"/>
          <w:szCs w:val="30"/>
        </w:rPr>
      </w:pPr>
      <w:r w:rsidDel="00000000" w:rsidR="00000000" w:rsidRPr="00000000">
        <w:rPr>
          <w:b w:val="1"/>
          <w:sz w:val="30"/>
          <w:szCs w:val="30"/>
          <w:rtl w:val="0"/>
        </w:rPr>
        <w:t xml:space="preserve">4. A review of deep learning in medical imaging: Imaging traits, technology trends, case studies with progress highlights, and future promises[J].</w:t>
      </w:r>
    </w:p>
    <w:p w:rsidR="00000000" w:rsidDel="00000000" w:rsidP="00000000" w:rsidRDefault="00000000" w:rsidRPr="00000000" w14:paraId="00000022">
      <w:pPr>
        <w:rPr>
          <w:b w:val="1"/>
          <w:sz w:val="30"/>
          <w:szCs w:val="30"/>
        </w:rPr>
      </w:pPr>
      <w:r w:rsidDel="00000000" w:rsidR="00000000" w:rsidRPr="00000000">
        <w:rPr>
          <w:rtl w:val="0"/>
        </w:rPr>
      </w:r>
    </w:p>
    <w:p w:rsidR="00000000" w:rsidDel="00000000" w:rsidP="00000000" w:rsidRDefault="00000000" w:rsidRPr="00000000" w14:paraId="00000023">
      <w:pPr>
        <w:rPr>
          <w:rFonts w:ascii="Roboto" w:cs="Roboto" w:eastAsia="Roboto" w:hAnsi="Roboto"/>
          <w:b w:val="1"/>
          <w:color w:val="2e3743"/>
          <w:sz w:val="27"/>
          <w:szCs w:val="27"/>
        </w:rPr>
      </w:pPr>
      <w:r w:rsidDel="00000000" w:rsidR="00000000" w:rsidRPr="00000000">
        <w:rPr>
          <w:rFonts w:ascii="Roboto" w:cs="Roboto" w:eastAsia="Roboto" w:hAnsi="Roboto"/>
          <w:b w:val="1"/>
          <w:color w:val="2e3743"/>
          <w:sz w:val="27"/>
          <w:szCs w:val="27"/>
          <w:rtl w:val="0"/>
        </w:rPr>
        <w:t xml:space="preserve">Authors:  Zhou S K, Greenspan H, Davatzikos C, et al.</w:t>
      </w:r>
    </w:p>
    <w:p w:rsidR="00000000" w:rsidDel="00000000" w:rsidP="00000000" w:rsidRDefault="00000000" w:rsidRPr="00000000" w14:paraId="00000024">
      <w:pPr>
        <w:rPr>
          <w:rFonts w:ascii="Roboto" w:cs="Roboto" w:eastAsia="Roboto" w:hAnsi="Roboto"/>
          <w:b w:val="1"/>
          <w:color w:val="2e3743"/>
          <w:sz w:val="27"/>
          <w:szCs w:val="27"/>
        </w:rPr>
      </w:pPr>
      <w:r w:rsidDel="00000000" w:rsidR="00000000" w:rsidRPr="00000000">
        <w:rPr>
          <w:rtl w:val="0"/>
        </w:rPr>
      </w:r>
    </w:p>
    <w:p w:rsidR="00000000" w:rsidDel="00000000" w:rsidP="00000000" w:rsidRDefault="00000000" w:rsidRPr="00000000" w14:paraId="00000025">
      <w:pPr>
        <w:rPr>
          <w:rFonts w:ascii="Roboto" w:cs="Roboto" w:eastAsia="Roboto" w:hAnsi="Roboto"/>
          <w:color w:val="2e3743"/>
          <w:sz w:val="29"/>
          <w:szCs w:val="29"/>
        </w:rPr>
      </w:pPr>
      <w:r w:rsidDel="00000000" w:rsidR="00000000" w:rsidRPr="00000000">
        <w:rPr>
          <w:rtl w:val="0"/>
        </w:rPr>
      </w:r>
    </w:p>
    <w:p w:rsidR="00000000" w:rsidDel="00000000" w:rsidP="00000000" w:rsidRDefault="00000000" w:rsidRPr="00000000" w14:paraId="00000026">
      <w:pPr>
        <w:rPr>
          <w:rFonts w:ascii="Roboto" w:cs="Roboto" w:eastAsia="Roboto" w:hAnsi="Roboto"/>
          <w:color w:val="2e3743"/>
          <w:sz w:val="26"/>
          <w:szCs w:val="26"/>
          <w:highlight w:val="white"/>
        </w:rPr>
      </w:pPr>
      <w:r w:rsidDel="00000000" w:rsidR="00000000" w:rsidRPr="00000000">
        <w:rPr>
          <w:rFonts w:ascii="Roboto" w:cs="Roboto" w:eastAsia="Roboto" w:hAnsi="Roboto"/>
          <w:color w:val="2e3743"/>
          <w:sz w:val="26"/>
          <w:szCs w:val="26"/>
          <w:highlight w:val="white"/>
          <w:rtl w:val="0"/>
        </w:rPr>
        <w:t xml:space="preserve">Since its renaissance, deep learning has been widely used in various medical imaging tasks and has achieved remarkable success in many medical imaging applications, thereby propelling us into the so-called artificial intelligence (AI) era. It is known that the success of AI is mostly attributed to the availability of big data with annotations for a single task and the advances in high performance computing. However, medical imaging presents unique challenges that confront deep learning approaches. In this survey paper, we first present traits of medical imaging, highlight both clinical needs and technical challenges in medical imaging, and describe how emerging trends in deep learning are addressing these issues. We cover the topics of network architecture, sparse and noisy labels, federating learning, interpretability, uncertainty quantification, etc. Then, we present several case studies that are commonly found in clinical practice, including digital pathology and chest, brain, cardiovascular, and abdominal imaging. Rather than presenting an exhaustive literature survey, we instead describe some prominent research highlights related to these case study applications. We conclude with a discussion and presentation of promising future directions.</w:t>
      </w:r>
    </w:p>
    <w:p w:rsidR="00000000" w:rsidDel="00000000" w:rsidP="00000000" w:rsidRDefault="00000000" w:rsidRPr="00000000" w14:paraId="00000027">
      <w:pPr>
        <w:rPr>
          <w:rFonts w:ascii="Roboto" w:cs="Roboto" w:eastAsia="Roboto" w:hAnsi="Roboto"/>
          <w:color w:val="2e3743"/>
          <w:sz w:val="26"/>
          <w:szCs w:val="26"/>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e3743"/>
          <w:sz w:val="26"/>
          <w:szCs w:val="26"/>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2e3743"/>
          <w:sz w:val="26"/>
          <w:szCs w:val="26"/>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color w:val="2e3743"/>
          <w:sz w:val="26"/>
          <w:szCs w:val="26"/>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2e3743"/>
          <w:sz w:val="26"/>
          <w:szCs w:val="26"/>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2e3743"/>
          <w:sz w:val="26"/>
          <w:szCs w:val="26"/>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b w:val="1"/>
          <w:color w:val="2e3743"/>
          <w:sz w:val="32"/>
          <w:szCs w:val="32"/>
          <w:highlight w:val="white"/>
        </w:rPr>
      </w:pPr>
      <w:r w:rsidDel="00000000" w:rsidR="00000000" w:rsidRPr="00000000">
        <w:rPr>
          <w:rFonts w:ascii="Roboto" w:cs="Roboto" w:eastAsia="Roboto" w:hAnsi="Roboto"/>
          <w:b w:val="1"/>
          <w:color w:val="2e3743"/>
          <w:sz w:val="32"/>
          <w:szCs w:val="32"/>
          <w:highlight w:val="white"/>
          <w:rtl w:val="0"/>
        </w:rPr>
        <w:t xml:space="preserve">5.Bridging the gap between AI and healthcare sides: towards developing clinically relevant Al-powered diagnosis systems</w:t>
      </w:r>
    </w:p>
    <w:p w:rsidR="00000000" w:rsidDel="00000000" w:rsidP="00000000" w:rsidRDefault="00000000" w:rsidRPr="00000000" w14:paraId="0000002E">
      <w:pPr>
        <w:rPr>
          <w:rFonts w:ascii="Roboto" w:cs="Roboto" w:eastAsia="Roboto" w:hAnsi="Roboto"/>
          <w:b w:val="1"/>
          <w:color w:val="2e3743"/>
          <w:sz w:val="32"/>
          <w:szCs w:val="32"/>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b w:val="1"/>
          <w:color w:val="2e3743"/>
          <w:sz w:val="27"/>
          <w:szCs w:val="27"/>
        </w:rPr>
      </w:pPr>
      <w:r w:rsidDel="00000000" w:rsidR="00000000" w:rsidRPr="00000000">
        <w:rPr>
          <w:rFonts w:ascii="Roboto" w:cs="Roboto" w:eastAsia="Roboto" w:hAnsi="Roboto"/>
          <w:b w:val="1"/>
          <w:color w:val="2e3743"/>
          <w:sz w:val="27"/>
          <w:szCs w:val="27"/>
          <w:rtl w:val="0"/>
        </w:rPr>
        <w:t xml:space="preserve">Authors: Changhee Han, Leonardo Rundo, Kohei Murao, Takafumi Nemoto, Hideki Nakayama</w:t>
      </w:r>
    </w:p>
    <w:p w:rsidR="00000000" w:rsidDel="00000000" w:rsidP="00000000" w:rsidRDefault="00000000" w:rsidRPr="00000000" w14:paraId="00000030">
      <w:pPr>
        <w:rPr>
          <w:rFonts w:ascii="Roboto" w:cs="Roboto" w:eastAsia="Roboto" w:hAnsi="Roboto"/>
          <w:b w:val="1"/>
          <w:color w:val="2e3743"/>
          <w:sz w:val="27"/>
          <w:szCs w:val="27"/>
        </w:rPr>
      </w:pPr>
      <w:r w:rsidDel="00000000" w:rsidR="00000000" w:rsidRPr="00000000">
        <w:rPr>
          <w:rtl w:val="0"/>
        </w:rPr>
      </w:r>
    </w:p>
    <w:p w:rsidR="00000000" w:rsidDel="00000000" w:rsidP="00000000" w:rsidRDefault="00000000" w:rsidRPr="00000000" w14:paraId="00000031">
      <w:pPr>
        <w:rPr>
          <w:rFonts w:ascii="Roboto" w:cs="Roboto" w:eastAsia="Roboto" w:hAnsi="Roboto"/>
          <w:b w:val="1"/>
          <w:color w:val="2e3743"/>
          <w:sz w:val="27"/>
          <w:szCs w:val="27"/>
        </w:rPr>
      </w:pPr>
      <w:r w:rsidDel="00000000" w:rsidR="00000000" w:rsidRPr="00000000">
        <w:rPr>
          <w:rtl w:val="0"/>
        </w:rPr>
      </w:r>
    </w:p>
    <w:p w:rsidR="00000000" w:rsidDel="00000000" w:rsidP="00000000" w:rsidRDefault="00000000" w:rsidRPr="00000000" w14:paraId="00000032">
      <w:pPr>
        <w:rPr>
          <w:rFonts w:ascii="Roboto" w:cs="Roboto" w:eastAsia="Roboto" w:hAnsi="Roboto"/>
          <w:color w:val="2e3743"/>
          <w:sz w:val="27"/>
          <w:szCs w:val="27"/>
          <w:highlight w:val="white"/>
        </w:rPr>
      </w:pPr>
      <w:r w:rsidDel="00000000" w:rsidR="00000000" w:rsidRPr="00000000">
        <w:rPr>
          <w:rFonts w:ascii="Roboto" w:cs="Roboto" w:eastAsia="Roboto" w:hAnsi="Roboto"/>
          <w:color w:val="2e3743"/>
          <w:sz w:val="27"/>
          <w:szCs w:val="27"/>
          <w:highlight w:val="white"/>
          <w:rtl w:val="0"/>
        </w:rPr>
        <w:t xml:space="preserve">Despite the success of Convolutional Neural Network-based Computer-Aided Diagnosis research, its clinical applications remain challenging. Accordingly, developing medical Artificial Intelligence (AI) fitting into a clinical environment requires identifying/bridging the gap between Al and Healthcare sides. Since the biggest problem in Medical Imaging lies in data paucity, confirming the clinical relevance for diagnosis of research-proven image augmentation techniques is essential. Therefore, we hold a clinically valuable Al-envisioning workshop among Japanese Medical Imaging experts, physicians, and generalists in Healthcare/Informatics. Then, a questionnaire survey for physicians evaluates our pathology-aware Generative Adversarial Network (GAN)-based image augmentation projects in terms of Data Augmentation and physician training. The workshop reveals the intrinsic gap between Al/Healthcare sides and solutions on Why (ie., clinical</w:t>
      </w:r>
    </w:p>
    <w:p w:rsidR="00000000" w:rsidDel="00000000" w:rsidP="00000000" w:rsidRDefault="00000000" w:rsidRPr="00000000" w14:paraId="00000033">
      <w:pPr>
        <w:rPr>
          <w:rFonts w:ascii="Roboto" w:cs="Roboto" w:eastAsia="Roboto" w:hAnsi="Roboto"/>
          <w:color w:val="2e3743"/>
          <w:sz w:val="31"/>
          <w:szCs w:val="31"/>
        </w:rPr>
      </w:pPr>
      <w:r w:rsidDel="00000000" w:rsidR="00000000" w:rsidRPr="00000000">
        <w:rPr>
          <w:rFonts w:ascii="Roboto" w:cs="Roboto" w:eastAsia="Roboto" w:hAnsi="Roboto"/>
          <w:color w:val="2e3743"/>
          <w:sz w:val="27"/>
          <w:szCs w:val="27"/>
          <w:highlight w:val="white"/>
          <w:rtl w:val="0"/>
        </w:rPr>
        <w:t xml:space="preserve">significance/interpretation) and How (te, data acquisition commercial deployment, and safety/feeling safe). This analysis confirms our pathology-aware GANS' clinical relevance as a clinical decision support system and non-expert physician training tool. Our findings would play a key role in connecting inter-disciplinary research and clinical applications, not limited to the Japanese medical context and pathology-aware GANS.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