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20CC7">
      <w:pPr>
        <w:spacing w:before="360"/>
        <w:jc w:val="center"/>
      </w:pPr>
      <w:r>
        <w:rPr>
          <w:rFonts w:ascii="微软雅黑" w:hAnsi="微软雅黑" w:eastAsia="微软雅黑"/>
          <w:b/>
          <w:color w:val="0B6B57"/>
          <w:sz w:val="28"/>
        </w:rPr>
        <w:t>课题五 · 研究内容3专项预研</w:t>
      </w:r>
    </w:p>
    <w:p w14:paraId="07AFD75F">
      <w:pPr>
        <w:spacing w:after="560"/>
      </w:pPr>
    </w:p>
    <w:p w14:paraId="1EBE80EA">
      <w:pPr>
        <w:spacing w:after="360" w:line="300" w:lineRule="auto"/>
        <w:jc w:val="center"/>
      </w:pPr>
      <w:r>
        <w:rPr>
          <w:rFonts w:ascii="微软雅黑" w:hAnsi="微软雅黑" w:eastAsia="微软雅黑"/>
          <w:b/>
          <w:color w:val="24333B"/>
          <w:sz w:val="52"/>
        </w:rPr>
        <w:t>抽水蓄能电站建设期</w:t>
      </w:r>
      <w:r>
        <w:rPr>
          <w:rFonts w:ascii="微软雅黑" w:hAnsi="微软雅黑" w:eastAsia="微软雅黑"/>
          <w:b/>
          <w:color w:val="24333B"/>
          <w:sz w:val="52"/>
        </w:rPr>
        <w:br w:type="textWrapping"/>
      </w:r>
      <w:r>
        <w:rPr>
          <w:rFonts w:ascii="微软雅黑" w:hAnsi="微软雅黑" w:eastAsia="微软雅黑"/>
          <w:b/>
          <w:color w:val="24333B"/>
          <w:sz w:val="52"/>
        </w:rPr>
        <w:t>水土保持措施智能辅助决策系统研发</w:t>
      </w:r>
    </w:p>
    <w:p w14:paraId="32AAC7C6">
      <w:pPr>
        <w:spacing w:after="560"/>
        <w:jc w:val="center"/>
      </w:pPr>
      <w:r>
        <w:rPr>
          <w:rFonts w:ascii="微软雅黑" w:hAnsi="微软雅黑" w:eastAsia="微软雅黑"/>
          <w:b/>
          <w:color w:val="2F6690"/>
          <w:sz w:val="36"/>
        </w:rPr>
        <w:t>预研项目方案（V1.0）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5"/>
      </w:tblGrid>
      <w:tr w14:paraId="35DD9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tcBorders>
              <w:top w:val="single" w:color="0B6B57" w:sz="8" w:space="0"/>
              <w:left w:val="single" w:color="0B6B57" w:sz="8" w:space="0"/>
              <w:bottom w:val="single" w:color="0B6B57" w:sz="8" w:space="0"/>
              <w:right w:val="single" w:color="0B6B57" w:sz="8" w:space="0"/>
              <w:insideH w:val="single" w:sz="8" w:space="0"/>
              <w:insideV w:val="single" w:sz="8" w:space="0"/>
            </w:tcBorders>
            <w:shd w:val="clear" w:color="auto" w:fill="DDEFEA"/>
            <w:tcMar>
              <w:top w:w="230" w:type="dxa"/>
              <w:left w:w="260" w:type="dxa"/>
              <w:bottom w:w="230" w:type="dxa"/>
              <w:right w:w="260" w:type="dxa"/>
            </w:tcMar>
          </w:tcPr>
          <w:p w14:paraId="57344193">
            <w:pPr>
              <w:jc w:val="center"/>
            </w:pPr>
            <w:r>
              <w:rPr>
                <w:rFonts w:ascii="微软雅黑" w:hAnsi="微软雅黑" w:eastAsia="微软雅黑"/>
                <w:b/>
                <w:color w:val="0B6B57"/>
                <w:sz w:val="24"/>
              </w:rPr>
              <w:t>经费规模约 10 万元  ·  实施周期 12 个月  ·  核心成果为可推广转化产品</w:t>
            </w:r>
          </w:p>
        </w:tc>
      </w:tr>
    </w:tbl>
    <w:p w14:paraId="19EE5E48">
      <w:pPr>
        <w:spacing w:after="80"/>
      </w:pPr>
    </w:p>
    <w:p w14:paraId="6B8E66DE">
      <w:pPr>
        <w:spacing w:after="80"/>
      </w:pPr>
    </w:p>
    <w:p w14:paraId="3A260835">
      <w:pPr>
        <w:spacing w:after="80"/>
      </w:pPr>
    </w:p>
    <w:p w14:paraId="09F44E6E">
      <w:pPr>
        <w:spacing w:after="80"/>
      </w:pPr>
    </w:p>
    <w:p w14:paraId="490A536E">
      <w:pPr>
        <w:spacing w:after="8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0D72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CB4BD7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/>
                <w:color w:val="24333B"/>
                <w:sz w:val="21"/>
              </w:rPr>
              <w:t>承担单位</w:t>
            </w:r>
          </w:p>
        </w:tc>
        <w:tc>
          <w:tcPr>
            <w:tcW w:w="51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F81D8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6737B"/>
                <w:sz w:val="21"/>
              </w:rPr>
              <w:t>____________________________</w:t>
            </w:r>
          </w:p>
        </w:tc>
      </w:tr>
      <w:tr w14:paraId="2D6AA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818419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/>
                <w:color w:val="24333B"/>
                <w:sz w:val="21"/>
              </w:rPr>
              <w:t>项目负责人</w:t>
            </w:r>
          </w:p>
        </w:tc>
        <w:tc>
          <w:tcPr>
            <w:tcW w:w="51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26EE2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6737B"/>
                <w:sz w:val="21"/>
              </w:rPr>
              <w:t>____________________________</w:t>
            </w:r>
          </w:p>
        </w:tc>
      </w:tr>
      <w:tr w14:paraId="712AE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F23347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/>
                <w:color w:val="24333B"/>
                <w:sz w:val="21"/>
              </w:rPr>
              <w:t>编制日期</w:t>
            </w:r>
          </w:p>
        </w:tc>
        <w:tc>
          <w:tcPr>
            <w:tcW w:w="51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13D53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6737B"/>
                <w:sz w:val="21"/>
              </w:rPr>
              <w:t>2026 年 8 月</w:t>
            </w:r>
          </w:p>
        </w:tc>
      </w:tr>
      <w:tr w14:paraId="05AC4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2B1ECC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/>
                <w:color w:val="24333B"/>
                <w:sz w:val="21"/>
              </w:rPr>
              <w:t>版本说明</w:t>
            </w:r>
          </w:p>
        </w:tc>
        <w:tc>
          <w:tcPr>
            <w:tcW w:w="51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43D78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6737B"/>
                <w:sz w:val="21"/>
              </w:rPr>
              <w:t>基于现有 QGIS/C++ C 端架构梳理</w:t>
            </w:r>
          </w:p>
        </w:tc>
      </w:tr>
    </w:tbl>
    <w:p w14:paraId="70488DB7">
      <w:r>
        <w:br w:type="page"/>
      </w:r>
    </w:p>
    <w:p w14:paraId="08936F3F">
      <w:pPr>
        <w:pStyle w:val="3"/>
      </w:pPr>
      <w:r>
        <w:t>目录</w:t>
      </w:r>
    </w:p>
    <w:p w14:paraId="57202832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一、项目摘要</w:t>
      </w:r>
    </w:p>
    <w:p w14:paraId="69AC6DF7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二、现有 C 端架构基础与本次建设边界</w:t>
      </w:r>
    </w:p>
    <w:p w14:paraId="11A67619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三、项目定位与立项逻辑</w:t>
      </w:r>
    </w:p>
    <w:p w14:paraId="45131988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四、研究目标与考核指标</w:t>
      </w:r>
    </w:p>
    <w:p w14:paraId="228E5469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五、研究范围与对象</w:t>
      </w:r>
    </w:p>
    <w:p w14:paraId="7B22A495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六、研究任务与主要内容</w:t>
      </w:r>
    </w:p>
    <w:p w14:paraId="177D3361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七、系统总体架构与数据架构</w:t>
      </w:r>
    </w:p>
    <w:p w14:paraId="316A2A48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八、决策模型与关键业务流程</w:t>
      </w:r>
    </w:p>
    <w:p w14:paraId="0AA77DF2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九、技术路线、关键难点与创新点</w:t>
      </w:r>
    </w:p>
    <w:p w14:paraId="135D39B2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十、试点验证与评价方法</w:t>
      </w:r>
    </w:p>
    <w:p w14:paraId="532CB4EA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十一、现场应用价值</w:t>
      </w:r>
    </w:p>
    <w:p w14:paraId="2011FA33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十二、成果体系与推广转化</w:t>
      </w:r>
    </w:p>
    <w:p w14:paraId="2250013F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十三、实施计划与组织保障</w:t>
      </w:r>
    </w:p>
    <w:p w14:paraId="1AF16976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十四、经费概算</w:t>
      </w:r>
    </w:p>
    <w:p w14:paraId="5CB9E9A8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十五、风险分析与对策</w:t>
      </w:r>
    </w:p>
    <w:p w14:paraId="5155CF1D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十六、与后续课题的衔接</w:t>
      </w:r>
    </w:p>
    <w:p w14:paraId="63ED3B6B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附录 A：V1.0 功能优先级清单</w:t>
      </w:r>
    </w:p>
    <w:p w14:paraId="15BA540E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附录 B：规则数据结构示例</w:t>
      </w:r>
    </w:p>
    <w:p w14:paraId="4A50A344">
      <w:pPr>
        <w:spacing w:after="60"/>
        <w:ind w:left="397"/>
      </w:pPr>
      <w:r>
        <w:rPr>
          <w:rFonts w:ascii="微软雅黑" w:hAnsi="微软雅黑" w:eastAsia="微软雅黑"/>
          <w:color w:val="24333B"/>
          <w:sz w:val="21"/>
        </w:rPr>
        <w:t>附录 C：主要依据与版本管理原则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"/>
        <w:gridCol w:w="8901"/>
      </w:tblGrid>
      <w:tr w14:paraId="1D447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2F6690" w:sz="0" w:space="0"/>
              <w:left w:val="single" w:color="2F6690" w:sz="0" w:space="0"/>
              <w:bottom w:val="single" w:color="2F6690" w:sz="0" w:space="0"/>
              <w:right w:val="single" w:color="2F6690" w:sz="0" w:space="0"/>
              <w:insideH w:val="single" w:sz="0" w:space="0"/>
              <w:insideV w:val="single" w:sz="0" w:space="0"/>
            </w:tcBorders>
            <w:shd w:val="clear" w:color="auto" w:fill="2F6690"/>
          </w:tcPr>
          <w:p w14:paraId="54303A3A"/>
        </w:tc>
        <w:tc>
          <w:tcPr>
            <w:tcW w:w="4592" w:type="dxa"/>
            <w:tcBorders>
              <w:top w:val="single" w:color="E5EEF6" w:sz="0" w:space="0"/>
              <w:left w:val="single" w:color="E5EEF6" w:sz="0" w:space="0"/>
              <w:bottom w:val="single" w:color="E5EEF6" w:sz="0" w:space="0"/>
              <w:right w:val="single" w:color="E5EEF6" w:sz="0" w:space="0"/>
              <w:insideH w:val="single" w:sz="0" w:space="0"/>
              <w:insideV w:val="single" w:sz="0" w:space="0"/>
            </w:tcBorders>
            <w:shd w:val="clear" w:color="auto" w:fill="E5EE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0BAD46">
            <w:pPr>
              <w:spacing w:after="60"/>
            </w:pPr>
            <w:r>
              <w:rPr>
                <w:rFonts w:ascii="微软雅黑" w:hAnsi="微软雅黑" w:eastAsia="微软雅黑"/>
                <w:b/>
                <w:color w:val="2F6690"/>
                <w:sz w:val="21"/>
              </w:rPr>
              <w:t>阅读提示</w:t>
            </w:r>
          </w:p>
          <w:p w14:paraId="18EA7C85">
            <w:pPr>
              <w:spacing w:after="0" w:line="324" w:lineRule="auto"/>
            </w:pPr>
            <w:r>
              <w:rPr>
                <w:rFonts w:ascii="宋体" w:hAnsi="宋体" w:eastAsia="宋体"/>
                <w:sz w:val="20"/>
              </w:rPr>
              <w:t>本方案中的“本项目”均指课题五研究内容3的专项预研；项目内部按五项研究任务组织，不再使用“研究内容1/2/3”的编号，避免层级混淆。</w:t>
            </w:r>
          </w:p>
        </w:tc>
      </w:tr>
    </w:tbl>
    <w:p w14:paraId="480F59C1">
      <w:pPr>
        <w:spacing w:after="0"/>
      </w:pPr>
    </w:p>
    <w:p w14:paraId="6AD22BE5">
      <w:r>
        <w:br w:type="page"/>
      </w:r>
    </w:p>
    <w:p w14:paraId="54542B06">
      <w:pPr>
        <w:pStyle w:val="3"/>
      </w:pPr>
      <w:r>
        <w:t>一、项目摘要</w:t>
      </w:r>
    </w:p>
    <w:p w14:paraId="7B75AEBE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本预研项目面向抽水蓄能电站建设期弃渣、挖填方、道路及施工场地等高频扰动场景，研发“水土保持措施智能辅助决策系统 V1.0”。系统以当前已形成的 QGIS/C++ 离线桌面端为载体，复用工程管理、影像和矢量数据、二维/三维地图、ONNX 扰动识别、SAM2 智能分割、人工核查与成果归档能力，在其上新增扰动单元建模、空间参数提取、可追溯规则引擎、设计参数初算、投资估算、验收清单与 Word/Excel 报告输出。</w:t>
      </w:r>
    </w:p>
    <w:p w14:paraId="1385C69A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V1.0 不另起一套独立 B/S 系统，而是采用“桌面 GIS 主端 + 本地规则与计算组件 + 标准化数据接口”的增量路线。该路线能够直接承接现有扰动识别图斑，将“发现扰动”延伸到“提出措施、估算投资、指导验收”，同时保留后续封装服务 API、接入课题五大模型问答系统和数字孪生平台的能力。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"/>
        <w:gridCol w:w="8901"/>
      </w:tblGrid>
      <w:tr w14:paraId="417AD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0B6B57" w:sz="0" w:space="0"/>
              <w:left w:val="single" w:color="0B6B57" w:sz="0" w:space="0"/>
              <w:bottom w:val="single" w:color="0B6B57" w:sz="0" w:space="0"/>
              <w:right w:val="single" w:color="0B6B57" w:sz="0" w:space="0"/>
              <w:insideH w:val="single" w:sz="0" w:space="0"/>
              <w:insideV w:val="single" w:sz="0" w:space="0"/>
            </w:tcBorders>
            <w:shd w:val="clear" w:color="auto" w:fill="0B6B57"/>
          </w:tcPr>
          <w:p w14:paraId="7616CE2D"/>
        </w:tc>
        <w:tc>
          <w:tcPr>
            <w:tcW w:w="4592" w:type="dxa"/>
            <w:tcBorders>
              <w:top w:val="single" w:color="DDEFEA" w:sz="0" w:space="0"/>
              <w:left w:val="single" w:color="DDEFEA" w:sz="0" w:space="0"/>
              <w:bottom w:val="single" w:color="DDEFEA" w:sz="0" w:space="0"/>
              <w:right w:val="single" w:color="DDEFEA" w:sz="0" w:space="0"/>
              <w:insideH w:val="single" w:sz="0" w:space="0"/>
              <w:insideV w:val="single" w:sz="0" w:space="0"/>
            </w:tcBorders>
            <w:shd w:val="clear" w:color="auto" w:fill="DDEF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00B35D">
            <w:pPr>
              <w:spacing w:after="60"/>
            </w:pPr>
            <w:r>
              <w:rPr>
                <w:rFonts w:ascii="微软雅黑" w:hAnsi="微软雅黑" w:eastAsia="微软雅黑"/>
                <w:b/>
                <w:color w:val="0B6B57"/>
                <w:sz w:val="21"/>
              </w:rPr>
              <w:t>方案核心判断</w:t>
            </w:r>
          </w:p>
          <w:p w14:paraId="64CE79FB">
            <w:pPr>
              <w:spacing w:after="0" w:line="324" w:lineRule="auto"/>
            </w:pPr>
            <w:r>
              <w:rPr>
                <w:rFonts w:ascii="宋体" w:hAnsi="宋体" w:eastAsia="宋体"/>
                <w:sz w:val="20"/>
              </w:rPr>
              <w:t>10 万元预研经费应集中形成可验证的决策内核与可运行产品闭环，不宜同时建设完整 Web 平台、知识图谱、大模型问答和全专业设计系统。V1.0 的核心资产是规则库及其计算、追溯、验证机制。</w:t>
            </w:r>
          </w:p>
        </w:tc>
      </w:tr>
    </w:tbl>
    <w:p w14:paraId="439AB395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08A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285A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项目要素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AFE9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建议口径</w:t>
            </w:r>
          </w:p>
        </w:tc>
      </w:tr>
      <w:tr w14:paraId="5D79F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AC93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项目属性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6A52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课题五研究内容3专项预研；以产品化原型和企业规则资产为主</w:t>
            </w:r>
          </w:p>
        </w:tc>
      </w:tr>
      <w:tr w14:paraId="635CC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6CB5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建设周期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F241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 个月</w:t>
            </w:r>
          </w:p>
        </w:tc>
      </w:tr>
      <w:tr w14:paraId="3F14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2E8A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经费规模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2AA5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 10 万元</w:t>
            </w:r>
          </w:p>
        </w:tc>
      </w:tr>
      <w:tr w14:paraId="4F8C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C320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产品形态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F312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Windows 离线桌面端模块 + 三库数据包 + 报告模板 + 使用/部署文档</w:t>
            </w:r>
          </w:p>
        </w:tc>
      </w:tr>
      <w:tr w14:paraId="13605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6FF9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深度范围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FB5B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渣场、边坡、施工道路、施工生产生活区 4 类典型单元形成完整决策闭环</w:t>
            </w:r>
          </w:p>
        </w:tc>
      </w:tr>
      <w:tr w14:paraId="2C51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1841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扩展范围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DBA6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统一数据模型覆盖 8～10 类扰动单元，料场、表土堆场等通过模板继续扩展</w:t>
            </w:r>
          </w:p>
        </w:tc>
      </w:tr>
      <w:tr w14:paraId="4F8B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12CC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核心输出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D29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措施建议清单、投资估算表、验收核查表及一份 Word 建议书</w:t>
            </w:r>
          </w:p>
        </w:tc>
      </w:tr>
      <w:tr w14:paraId="5593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3C89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试点方式</w:t>
            </w:r>
          </w:p>
        </w:tc>
        <w:tc>
          <w:tcPr>
            <w:tcW w:w="720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0230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 个在建抽蓄电站、3～5 个典型扰动单元、2～3 名专家对比评审</w:t>
            </w:r>
          </w:p>
        </w:tc>
      </w:tr>
    </w:tbl>
    <w:p w14:paraId="4508E563">
      <w:pPr>
        <w:spacing w:after="0"/>
      </w:pPr>
    </w:p>
    <w:p w14:paraId="66D97446">
      <w:pPr>
        <w:pStyle w:val="3"/>
      </w:pPr>
      <w:r>
        <w:t>二、现有 C 端架构基础与本次建设边界</w:t>
      </w:r>
    </w:p>
    <w:p w14:paraId="572C389C">
      <w:pPr>
        <w:pStyle w:val="4"/>
      </w:pPr>
      <w:r>
        <w:t>（一）现有架构与能力基础</w:t>
      </w:r>
    </w:p>
    <w:p w14:paraId="0CE78BA0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经对当前代码仓和运行形态梳理，现有项目是基于 QGIS 源码进行 C++/Qt 原生扩展的 Windows 桌面 GIS 产品，不是普通浏览器前端。业务能力由原生工作台控制器接入 QGIS 工程、图层树、地图画布、矢量编辑和数据提供器，推理侧使用 ONNX Runtime，已集成施工扰动分割模型和 SAM2 交互式精细分割模型，并采用本地工程目录完成离线归档。该基础与建设现场弱网、空间数据量大、成果需落图核查的特点高度匹配。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0000C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AAC9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现有能力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F0FD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当前实现基础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B183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本项目复用方式</w:t>
            </w:r>
          </w:p>
        </w:tc>
      </w:tr>
      <w:tr w14:paraId="329A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AA0E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工程与目录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5B41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QGIS .qgz 工程；imagery、vectors、models、results、screenshots、reports、cache 标准目录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F276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扩展为抽蓄水保工程模板，继续按项目离线归档</w:t>
            </w:r>
          </w:p>
        </w:tc>
      </w:tr>
      <w:tr w14:paraId="06C2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70AB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空间数据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6CDB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GeoTIFF、SHP/GPKG/GeoJSON 导入；QGIS/GDAL 坐标转换、渲染和空间分析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8015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承接 DEM、遥感影像、扰动单元、汇水区、措施布置等数据</w:t>
            </w:r>
          </w:p>
        </w:tc>
      </w:tr>
      <w:tr w14:paraId="4697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0028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智能识别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CD6A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ONNX 扰动图斑识别、分块推理、跨瓦片抑制与地理坐标回写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142A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识别图斑可直接转为待决策扰动单元</w:t>
            </w:r>
          </w:p>
        </w:tc>
      </w:tr>
      <w:tr w14:paraId="199B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62EF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智能分割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7F07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SAM2 点选/框选提示分割，输出可编辑面图斑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C025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用于渣场、边坡、场地边界快速精细化</w:t>
            </w:r>
          </w:p>
        </w:tc>
      </w:tr>
      <w:tr w14:paraId="3431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7583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人工核查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570A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矢量新增、节点编辑、选择、删除、状态记录与结果表格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F80E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用于补录决策参数、修正边界、确认措施建议</w:t>
            </w:r>
          </w:p>
        </w:tc>
      </w:tr>
      <w:tr w14:paraId="2117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C1B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地图与展示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C614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二维/三维视图、图层树、业务分组、定位与显隐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CBEE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在地图上联动查看扰动单元、推荐措施和风险提示</w:t>
            </w:r>
          </w:p>
        </w:tc>
      </w:tr>
      <w:tr w14:paraId="2C4F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506A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成果输出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C608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批量截图与 CSV 索引，工程 reports 目录已预留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2431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 Word/Excel/JSON 模板化成果输出</w:t>
            </w:r>
          </w:p>
        </w:tc>
      </w:tr>
      <w:tr w14:paraId="793EF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5EED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部署方式</w:t>
            </w:r>
          </w:p>
        </w:tc>
        <w:tc>
          <w:tcPr>
            <w:tcW w:w="36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1D1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C++ 原生应用、ONNX 模型随应用本地部署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97CB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保持断网可用；规则包和单价包可离线升级</w:t>
            </w:r>
          </w:p>
        </w:tc>
      </w:tr>
    </w:tbl>
    <w:p w14:paraId="47AB909E">
      <w:pPr>
        <w:spacing w:after="0"/>
      </w:pPr>
    </w:p>
    <w:p w14:paraId="397A9A52">
      <w:pPr>
        <w:pStyle w:val="4"/>
      </w:pPr>
      <w:r>
        <w:t>（二）本次新增能力与工程边界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0939D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D57C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层面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90F0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本次新增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4404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明确不做/后续做</w:t>
            </w:r>
          </w:p>
        </w:tc>
      </w:tr>
      <w:tr w14:paraId="0501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91FA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7857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抽蓄工程信息、扰动单元台账、决策任务、方案比选、人工复核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1536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不建设覆盖所有行业的通用水保设计平台</w:t>
            </w:r>
          </w:p>
        </w:tc>
      </w:tr>
      <w:tr w14:paraId="51CF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C87E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0DB3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扰动单元参数模型、规则库、单价库、验收指标库、计算记录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5FC9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不一次性完成全国全区域实时价格库</w:t>
            </w:r>
          </w:p>
        </w:tc>
      </w:tr>
      <w:tr w14:paraId="5BC5A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0B9A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算法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1973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规则匹配、参数初算、工程量估算、投资汇总、验收映射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5E29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不替代拦挡结构稳定计算、地勘、施工图和法定审查</w:t>
            </w:r>
          </w:p>
        </w:tc>
      </w:tr>
      <w:tr w14:paraId="1EC7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F7DB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1C93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现有 C 端内新增“水保决策”工作空间和报告组件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8942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本阶段不另建完整 B/S 门户、知识图谱和大模型问答层</w:t>
            </w:r>
          </w:p>
        </w:tc>
      </w:tr>
      <w:tr w14:paraId="7D87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DA73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8B4F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 JSON 输入/输出、规则包导入导出、未来服务接口 DTO</w:t>
            </w:r>
          </w:p>
        </w:tc>
        <w:tc>
          <w:tcPr>
            <w:tcW w:w="391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F5C4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不强制部署服务器或建设复杂微服务</w:t>
            </w:r>
          </w:p>
        </w:tc>
      </w:tr>
    </w:tbl>
    <w:p w14:paraId="619A869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"/>
        <w:gridCol w:w="8901"/>
      </w:tblGrid>
      <w:tr w14:paraId="37DBA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C67A16" w:sz="0" w:space="0"/>
              <w:left w:val="single" w:color="C67A16" w:sz="0" w:space="0"/>
              <w:bottom w:val="single" w:color="C67A16" w:sz="0" w:space="0"/>
              <w:right w:val="single" w:color="C67A16" w:sz="0" w:space="0"/>
              <w:insideH w:val="single" w:sz="0" w:space="0"/>
              <w:insideV w:val="single" w:sz="0" w:space="0"/>
            </w:tcBorders>
            <w:shd w:val="clear" w:color="auto" w:fill="C67A16"/>
          </w:tcPr>
          <w:p w14:paraId="26658BAD"/>
        </w:tc>
        <w:tc>
          <w:tcPr>
            <w:tcW w:w="4592" w:type="dxa"/>
            <w:tcBorders>
              <w:top w:val="single" w:color="F7EAD7" w:sz="0" w:space="0"/>
              <w:left w:val="single" w:color="F7EAD7" w:sz="0" w:space="0"/>
              <w:bottom w:val="single" w:color="F7EAD7" w:sz="0" w:space="0"/>
              <w:right w:val="single" w:color="F7EAD7" w:sz="0" w:space="0"/>
              <w:insideH w:val="single" w:sz="0" w:space="0"/>
              <w:insideV w:val="single" w:sz="0" w:space="0"/>
            </w:tcBorders>
            <w:shd w:val="clear" w:color="auto" w:fill="F7EAD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2B54F8">
            <w:pPr>
              <w:spacing w:after="60"/>
            </w:pPr>
            <w:r>
              <w:rPr>
                <w:rFonts w:ascii="微软雅黑" w:hAnsi="微软雅黑" w:eastAsia="微软雅黑"/>
                <w:b/>
                <w:color w:val="C67A16"/>
                <w:sz w:val="21"/>
              </w:rPr>
              <w:t>工程实施建议</w:t>
            </w:r>
          </w:p>
          <w:p w14:paraId="2FD30040">
            <w:pPr>
              <w:spacing w:after="0" w:line="324" w:lineRule="auto"/>
            </w:pPr>
            <w:r>
              <w:rPr>
                <w:rFonts w:ascii="宋体" w:hAnsi="宋体" w:eastAsia="宋体"/>
                <w:sz w:val="20"/>
              </w:rPr>
              <w:t>现有生态修复控制器已承担较多界面与业务职责。新增水保决策功能应作为独立业务模块落位，核心规则、计算、估算和报告逻辑采用无界面的领域服务，避免继续堆入单一控制器，便于单元测试和后续服务化。</w:t>
            </w:r>
          </w:p>
        </w:tc>
      </w:tr>
    </w:tbl>
    <w:p w14:paraId="4616729D">
      <w:pPr>
        <w:spacing w:after="0"/>
      </w:pPr>
    </w:p>
    <w:p w14:paraId="08885EB3">
      <w:pPr>
        <w:pStyle w:val="3"/>
      </w:pPr>
      <w:r>
        <w:t>三、项目定位与立项逻辑</w:t>
      </w:r>
    </w:p>
    <w:p w14:paraId="4E4633FF">
      <w:pPr>
        <w:pStyle w:val="4"/>
      </w:pPr>
      <w:r>
        <w:t>（一）项目定位</w:t>
      </w:r>
    </w:p>
    <w:p w14:paraId="773A8517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本项目是课题五“大模型合规问答系统”的先行切入点，也是现有生态环境遥感智能核查 C 端从“扰动发现与人工核查”向“措施决策与闭环管理”延伸的核心模块。产品面向建设单位环水保管理人员、施工单位技术人员、水保方案编制/监理人员和验收自查人员，提供方案阶段和施工调整阶段的快速辅助决策。</w:t>
      </w:r>
    </w:p>
    <w:p w14:paraId="58ADD13C">
      <w:pPr>
        <w:pStyle w:val="4"/>
      </w:pPr>
      <w:r>
        <w:t>（二）优先研发辅助决策的理由</w:t>
      </w:r>
    </w:p>
    <w:p w14:paraId="16D44417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问答系统的基础壁垒主要在知识组织，辅助决策的核心壁垒在规则模型。把标准条文、案例和专家经验转化为可计算、可追溯、可验证的规则，是最难复制且可持续积累的企业技术资产。</w:t>
      </w:r>
    </w:p>
    <w:p w14:paraId="1CC87DF7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10 万元无法覆盖完整的大模型系统和全专业设计能力，但可以把“扰动单元输入—措施推荐—投资初算—验收清单—报告输出”做成一个可试用、可验收的小闭环。</w:t>
      </w:r>
    </w:p>
    <w:p w14:paraId="546D4AF7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当前 C 端已经具备空间数据、识别、分割、编辑和离线工程能力，新增决策域即可形成端到端产品，避免重复投入地图、数据和部署底座。</w:t>
      </w:r>
    </w:p>
    <w:p w14:paraId="66D66845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决策内核可先作为桌面模块在单站试用，后续通过标准 JSON/服务封装接入大模型 RAG、数字孪生或企业 Web 平台，前期投资不重复。</w:t>
      </w:r>
    </w:p>
    <w:p w14:paraId="74B51955">
      <w:pPr>
        <w:pStyle w:val="3"/>
      </w:pPr>
      <w:r>
        <w:t>四、研究目标与考核指标</w:t>
      </w:r>
    </w:p>
    <w:p w14:paraId="74E0BEFD">
      <w:pPr>
        <w:pStyle w:val="4"/>
      </w:pPr>
      <w:r>
        <w:t>（一）总体目标</w:t>
      </w:r>
    </w:p>
    <w:p w14:paraId="5F32E3AF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研发“抽水蓄能电站建设期水土保持措施智能辅助决策系统 V1.0”。用户可从地图选择识别/绘制的扰动单元，由系统自动提取面积、坡度等可计算参数，补充土壤、降雨、防治分区等业务参数后，自动生成措施组合、关键设计参数初算、工程量和投资估算、验收要点，并保留规则来源、计算过程、缺失参数和人工复核记录。</w:t>
      </w:r>
    </w:p>
    <w:p w14:paraId="751017EB">
      <w:pPr>
        <w:pStyle w:val="4"/>
      </w:pPr>
      <w:r>
        <w:t>（二）分目标</w:t>
      </w:r>
    </w:p>
    <w:p w14:paraId="1779339B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形成统一的扰动单元数据模型和 8～10 类分类框架，优先完成 4 类典型单元的端到端闭环。</w:t>
      </w:r>
    </w:p>
    <w:p w14:paraId="0F9C89FE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建立可版本化、可追溯的决策规则库、综合单价库、验收指标库及关键参数计算库。</w:t>
      </w:r>
    </w:p>
    <w:p w14:paraId="1EA3C981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在现有 QGIS/C++ 客户端中形成可离线运行的引导式决策工作台，支持地图与表单双入口。</w:t>
      </w:r>
    </w:p>
    <w:p w14:paraId="6BE5B081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在 1 个在建抽蓄电站完成 3～5 个典型单元试点，对规则适用性、投资偏差和报告可用性进行验证。</w:t>
      </w:r>
    </w:p>
    <w:p w14:paraId="264B4E3D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完成 V1.0 产品封装、使用手册、部署包和知识产权材料，具备复制到其他站点的条件。</w:t>
      </w:r>
    </w:p>
    <w:p w14:paraId="673BD01F">
      <w:pPr>
        <w:pStyle w:val="4"/>
      </w:pPr>
      <w:r>
        <w:t>（三）建议考核指标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33F6B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F08A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指标类别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C361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V1.0 建议指标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2CFA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验收方法</w:t>
            </w:r>
          </w:p>
        </w:tc>
      </w:tr>
      <w:tr w14:paraId="0C94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031F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场景覆盖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4C7D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 8～10 类统一分类；渣场、边坡、施工道路、施工生产生活区 4 类形成完整闭环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FEE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功能清单、测试用例、试点记录</w:t>
            </w:r>
          </w:p>
        </w:tc>
      </w:tr>
      <w:tr w14:paraId="620F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1893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规则资产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6EF4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60 条可执行规则/参数约束；发布规则 100% 绑定来源、版本和适用条件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6EC4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规则库审查与自动校验报告</w:t>
            </w:r>
          </w:p>
        </w:tc>
      </w:tr>
      <w:tr w14:paraId="70D4F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F16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单价资产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61E5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收录不少于 80 项常用措施，目标 80～120 项；支持地区、基期和调整系数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ADAC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单价库清单与抽查</w:t>
            </w:r>
          </w:p>
        </w:tc>
      </w:tr>
      <w:tr w14:paraId="1996D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2DA7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验收映射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F636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措施目录均建立验收指标、核查方式、阈值或判定依据映射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0E9C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覆盖率检查</w:t>
            </w:r>
          </w:p>
        </w:tc>
      </w:tr>
      <w:tr w14:paraId="74FA7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D5C9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功能闭环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7F99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参数录入、规则匹配、计算、估算、验收、Word/Excel/JSON 输出均可离线运行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7615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现场演示与断网测试</w:t>
            </w:r>
          </w:p>
        </w:tc>
      </w:tr>
      <w:tr w14:paraId="53D23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4ED1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响应性能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10BF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资料完整时单个扰动单元规则计算与结果生成目标 ≤3 秒，不含大范围 GIS 预处理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8805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指定基准机计时</w:t>
            </w:r>
          </w:p>
        </w:tc>
      </w:tr>
      <w:tr w14:paraId="735E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3F0B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措施合理性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D8DE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试点专家一致认定的必要措施无原则性漏项；一级措施组合与专家共识匹配率目标 ≥80%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C856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盲评表和差异分析</w:t>
            </w:r>
          </w:p>
        </w:tc>
      </w:tr>
      <w:tr w14:paraId="0FD39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B5B2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估算精度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067D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口径、价格基期和输入工程量一致条件下，试点单元汇总投资相对偏差目标 ≤15%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69DF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与批复/复核结果对比</w:t>
            </w:r>
          </w:p>
        </w:tc>
      </w:tr>
      <w:tr w14:paraId="525C0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AA46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可追溯性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95FF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每次结果保存输入快照、规则版本、命中规则、公式与人工修改记录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EEBC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结果包和日志抽查</w:t>
            </w:r>
          </w:p>
        </w:tc>
      </w:tr>
      <w:tr w14:paraId="152E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D971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产品成果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4284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安装/离线部署包 1 套、软著至少 1 项、试点应用报告 1 份</w:t>
            </w:r>
          </w:p>
        </w:tc>
        <w:tc>
          <w:tcPr>
            <w:tcW w:w="300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D36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成果文件与受理材料</w:t>
            </w:r>
          </w:p>
        </w:tc>
      </w:tr>
    </w:tbl>
    <w:p w14:paraId="01091100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"/>
        <w:gridCol w:w="8901"/>
      </w:tblGrid>
      <w:tr w14:paraId="0DE1B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C67A16" w:sz="0" w:space="0"/>
              <w:left w:val="single" w:color="C67A16" w:sz="0" w:space="0"/>
              <w:bottom w:val="single" w:color="C67A16" w:sz="0" w:space="0"/>
              <w:right w:val="single" w:color="C67A16" w:sz="0" w:space="0"/>
              <w:insideH w:val="single" w:sz="0" w:space="0"/>
              <w:insideV w:val="single" w:sz="0" w:space="0"/>
            </w:tcBorders>
            <w:shd w:val="clear" w:color="auto" w:fill="C67A16"/>
          </w:tcPr>
          <w:p w14:paraId="18F8D9A5"/>
        </w:tc>
        <w:tc>
          <w:tcPr>
            <w:tcW w:w="4592" w:type="dxa"/>
            <w:tcBorders>
              <w:top w:val="single" w:color="F7EAD7" w:sz="0" w:space="0"/>
              <w:left w:val="single" w:color="F7EAD7" w:sz="0" w:space="0"/>
              <w:bottom w:val="single" w:color="F7EAD7" w:sz="0" w:space="0"/>
              <w:right w:val="single" w:color="F7EAD7" w:sz="0" w:space="0"/>
              <w:insideH w:val="single" w:sz="0" w:space="0"/>
              <w:insideV w:val="single" w:sz="0" w:space="0"/>
            </w:tcBorders>
            <w:shd w:val="clear" w:color="auto" w:fill="F7EAD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508C95">
            <w:pPr>
              <w:spacing w:after="60"/>
            </w:pPr>
            <w:r>
              <w:rPr>
                <w:rFonts w:ascii="微软雅黑" w:hAnsi="微软雅黑" w:eastAsia="微软雅黑"/>
                <w:b/>
                <w:color w:val="C67A16"/>
                <w:sz w:val="21"/>
              </w:rPr>
              <w:t>指标适用条件</w:t>
            </w:r>
          </w:p>
          <w:p w14:paraId="4D0EE9B6">
            <w:pPr>
              <w:spacing w:after="0" w:line="324" w:lineRule="auto"/>
            </w:pPr>
            <w:r>
              <w:rPr>
                <w:rFonts w:ascii="宋体" w:hAnsi="宋体" w:eastAsia="宋体"/>
                <w:sz w:val="20"/>
              </w:rPr>
              <w:t>“投资偏差≤15%”仅适用于同一计价口径、价格基期一致、基础资料完整的试点样本，不承诺代替正式概（估）算。对于高风险、资料缺失或超出规则适用域的工况，系统必须输出人工复核提示而非强行给出确定结论。</w:t>
            </w:r>
          </w:p>
        </w:tc>
      </w:tr>
    </w:tbl>
    <w:p w14:paraId="67046C8B">
      <w:pPr>
        <w:spacing w:after="0"/>
      </w:pPr>
    </w:p>
    <w:p w14:paraId="4DAAC57E">
      <w:pPr>
        <w:pStyle w:val="3"/>
      </w:pPr>
      <w:r>
        <w:t>五、研究范围与对象</w:t>
      </w:r>
    </w:p>
    <w:p w14:paraId="1220AA8D">
      <w:pPr>
        <w:pStyle w:val="4"/>
      </w:pPr>
      <w:r>
        <w:t>（一）扰动单元分类框架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44CA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61C5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分类层级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3C0B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扰动单元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40B9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V1.0 处理深度</w:t>
            </w:r>
          </w:p>
        </w:tc>
      </w:tr>
      <w:tr w14:paraId="707C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2A8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 核心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19A9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渣场（沟道型/坡地型）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E6B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完整规则、参数计算、投资和验收闭环；重点试点</w:t>
            </w:r>
          </w:p>
        </w:tc>
      </w:tr>
      <w:tr w14:paraId="014A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73D3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 核心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A3A1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边坡（土质挖方/填方/岩质）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30A3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完整规则、措施比选与典型工程量闭环</w:t>
            </w:r>
          </w:p>
        </w:tc>
      </w:tr>
      <w:tr w14:paraId="2B9E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04C0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 核心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B0AD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施工道路（永久/临时、挖填段）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0CF3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完整排水、防护、绿化及临时措施闭环</w:t>
            </w:r>
          </w:p>
        </w:tc>
      </w:tr>
      <w:tr w14:paraId="5E6F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E737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 核心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6F8A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施工生产生活区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BEFF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完整场地排水、沉沙、临时苫盖、恢复闭环</w:t>
            </w:r>
          </w:p>
        </w:tc>
      </w:tr>
      <w:tr w14:paraId="6BAE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2A8C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 扩展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5AD7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料场、表土堆场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0956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建立数据模板和基础措施规则，视资料完成扩展验证</w:t>
            </w:r>
          </w:p>
        </w:tc>
      </w:tr>
      <w:tr w14:paraId="56AA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D2A0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 扩展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FFF8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上下库连接工程、输水发电系统施工区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AD27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纳入分类与接口，复杂结构由专业复核</w:t>
            </w:r>
          </w:p>
        </w:tc>
      </w:tr>
      <w:tr w14:paraId="1EE7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2710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 扩展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4504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施工营地、临时堆土及其他扰动区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2665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通用兜底规则和人工复核机制</w:t>
            </w:r>
          </w:p>
        </w:tc>
      </w:tr>
    </w:tbl>
    <w:p w14:paraId="40E40833">
      <w:pPr>
        <w:spacing w:after="0"/>
      </w:pPr>
    </w:p>
    <w:p w14:paraId="396E6A50">
      <w:pPr>
        <w:pStyle w:val="4"/>
      </w:pPr>
      <w:r>
        <w:t>（二）输入、处理与输出边界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296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1BE6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w="737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3E0F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主要内容</w:t>
            </w:r>
          </w:p>
        </w:tc>
      </w:tr>
      <w:tr w14:paraId="3B54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5B1D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空间输入</w:t>
            </w:r>
          </w:p>
        </w:tc>
        <w:tc>
          <w:tcPr>
            <w:tcW w:w="737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CE60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扰动图斑、DEM/等高线、影像、工程分区、汇水边界、土壤/植被/降雨分区图层（可选）</w:t>
            </w:r>
          </w:p>
        </w:tc>
      </w:tr>
      <w:tr w14:paraId="6F69C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4473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业务输入</w:t>
            </w:r>
          </w:p>
        </w:tc>
        <w:tc>
          <w:tcPr>
            <w:tcW w:w="737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7B49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单元类型、阶段、坡率/堆高/堆渣量、土壤类型、降雨、防治分区、设计频率、施工时段、价格基期等</w:t>
            </w:r>
          </w:p>
        </w:tc>
      </w:tr>
      <w:tr w14:paraId="4FBB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D00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自动处理</w:t>
            </w:r>
          </w:p>
        </w:tc>
        <w:tc>
          <w:tcPr>
            <w:tcW w:w="737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DED4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面积/长度/平均坡度提取、规则匹配、关键参数初算、工程量推导、单价套用、验收映射、完整性/冲突检查</w:t>
            </w:r>
          </w:p>
        </w:tc>
      </w:tr>
      <w:tr w14:paraId="7230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5AA2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人工补充</w:t>
            </w:r>
          </w:p>
        </w:tc>
        <w:tc>
          <w:tcPr>
            <w:tcW w:w="737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BB4F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无法从空间图层可靠获取的地质、材料、工艺、设计标准和本地价格参数</w:t>
            </w:r>
          </w:p>
        </w:tc>
      </w:tr>
      <w:tr w14:paraId="4B70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E936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输出成果</w:t>
            </w:r>
          </w:p>
        </w:tc>
        <w:tc>
          <w:tcPr>
            <w:tcW w:w="737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80B0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措施建议书（Word）、投资估算表（Excel）、验收核查表（Excel）、决策结果包（JSON/GeoPackage）</w:t>
            </w:r>
          </w:p>
        </w:tc>
      </w:tr>
      <w:tr w14:paraId="232E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F509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责任边界</w:t>
            </w:r>
          </w:p>
        </w:tc>
        <w:tc>
          <w:tcPr>
            <w:tcW w:w="737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AB5A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系统用于方案比选、变更研判和自查；重大拦挡工程、结构稳定及施工图必须由有资质专业人员复核</w:t>
            </w:r>
          </w:p>
        </w:tc>
      </w:tr>
    </w:tbl>
    <w:p w14:paraId="001F195A">
      <w:pPr>
        <w:spacing w:after="0"/>
      </w:pPr>
    </w:p>
    <w:p w14:paraId="697627F7">
      <w:pPr>
        <w:pStyle w:val="3"/>
      </w:pPr>
      <w:r>
        <w:t>六、研究任务与主要内容</w:t>
      </w:r>
    </w:p>
    <w:p w14:paraId="09A1697D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本专项预研在课题体系中属于“研究内容3”，项目内部按以下五项研究任务组织。五项任务以规则资产为主线、以 C 端产品为载体、以试点证据为验收依据。</w:t>
      </w:r>
    </w:p>
    <w:p w14:paraId="75932D4E">
      <w:pPr>
        <w:pStyle w:val="4"/>
      </w:pPr>
      <w:r>
        <w:t>任务一：决策知识源数字化与规则体系构建（核心）</w:t>
      </w:r>
    </w:p>
    <w:p w14:paraId="755EFDBA">
      <w:pPr>
        <w:pStyle w:val="5"/>
      </w:pPr>
      <w:r>
        <w:t>1. 知识源梳理</w:t>
      </w:r>
    </w:p>
    <w:p w14:paraId="68E7880A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梳理生产建设项目水土保持技术、设计、防治、监测、质量评定和设施验收等现行标准及水利部、流域机构、国网公司相关制度文件。</w:t>
      </w:r>
    </w:p>
    <w:p w14:paraId="01F4AE5E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收集 5～10 个已建/在建抽水蓄能电站水土保持方案、变更、监理、监测和验收材料；对敏感信息进行脱敏，形成案例样本表。</w:t>
      </w:r>
    </w:p>
    <w:p w14:paraId="3AF0A572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访谈 3～5 名方案编制、设计、监理或验收专家，提炼标准未直接给出的工程适用条件、禁配条件、优先级和复核门。</w:t>
      </w:r>
    </w:p>
    <w:p w14:paraId="0125F8E3">
      <w:pPr>
        <w:pStyle w:val="5"/>
      </w:pPr>
      <w:r>
        <w:t>2. 规则数据模型</w:t>
      </w:r>
    </w:p>
    <w:p w14:paraId="5800ED80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建立“扰动单元类型 × 立地/工程条件 × 建设阶段 → 措施组合 + 参数约束 + 复核要求”的规则框架。每条规则至少包含规则编号、条件表达式、输出措施、优先级、互斥/联动关系、适用区域、标准版本、来源条款、专家确认状态、置信等级和生效日期。规则表达式采用白名单字段与安全运算符，不执行任意脚本。</w:t>
      </w:r>
    </w:p>
    <w:p w14:paraId="264BE86D">
      <w:pPr>
        <w:pStyle w:val="5"/>
      </w:pPr>
      <w:r>
        <w:t>3. 规则治理</w:t>
      </w:r>
    </w:p>
    <w:p w14:paraId="13D1E63C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建立草稿、评审、发布、停用四态生命周期；发布规则只读，修改通过新版本完成。</w:t>
      </w:r>
    </w:p>
    <w:p w14:paraId="2A30BF36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建设冲突、重复、空条件、死规则和缺失来源自动校验；所有决策保存命中链路。</w:t>
      </w:r>
    </w:p>
    <w:p w14:paraId="5744F6D8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设置兜底推荐与人工复核门。低覆盖度、关键参数缺失、超出范围或高风险工程只输出原则性建议和缺项清单。</w:t>
      </w:r>
    </w:p>
    <w:p w14:paraId="25BF4E97">
      <w:pPr>
        <w:pStyle w:val="4"/>
      </w:pPr>
      <w:r>
        <w:t>任务二：空间参数提取与关键参数计算</w:t>
      </w:r>
    </w:p>
    <w:p w14:paraId="36AEBF17">
      <w:pPr>
        <w:pStyle w:val="5"/>
      </w:pPr>
      <w:r>
        <w:t>1. 扰动单元建模与空间参数提取</w:t>
      </w:r>
    </w:p>
    <w:p w14:paraId="65109C01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在现有识别/人工核查图斑基础上建立“扰动单元”主对象，关联工程分区、影像期次、核查状态和决策版本。利用 QGIS/GDAL 能力自动计算面积、周长、坡度统计、坡向、相对高差等；具备可靠基础数据时进一步计算汇水面积和与沟道/道路的空间关系。所有自动值标记来源图层、时间和算法，允许人工覆盖但保留原值。</w:t>
      </w:r>
    </w:p>
    <w:p w14:paraId="52B8B828">
      <w:pPr>
        <w:pStyle w:val="5"/>
      </w:pPr>
      <w:r>
        <w:t>2. 关键参数初算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179D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C76B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计算模块</w:t>
            </w:r>
          </w:p>
        </w:tc>
        <w:tc>
          <w:tcPr>
            <w:tcW w:w="238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FDC0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w="255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1005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w="243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0A1D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V1.0 边界</w:t>
            </w:r>
          </w:p>
        </w:tc>
      </w:tr>
      <w:tr w14:paraId="2D2D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54E0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截排水水力初算</w:t>
            </w:r>
          </w:p>
        </w:tc>
        <w:tc>
          <w:tcPr>
            <w:tcW w:w="238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D62E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汇水面积、设计暴雨/强度、径流系数、纵坡、糙率</w:t>
            </w:r>
          </w:p>
        </w:tc>
        <w:tc>
          <w:tcPr>
            <w:tcW w:w="255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CF05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设计流量、推荐断面、流速及校核提示</w:t>
            </w:r>
          </w:p>
        </w:tc>
        <w:tc>
          <w:tcPr>
            <w:tcW w:w="243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884D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用于方案初选；地区暴雨公式和安全超高可配置</w:t>
            </w:r>
          </w:p>
        </w:tc>
      </w:tr>
      <w:tr w14:paraId="0CDC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EC2F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拦挡规模估算</w:t>
            </w:r>
          </w:p>
        </w:tc>
        <w:tc>
          <w:tcPr>
            <w:tcW w:w="238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30FF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堆渣量、堆高、沟谷条件、下游敏感性</w:t>
            </w:r>
          </w:p>
        </w:tc>
        <w:tc>
          <w:tcPr>
            <w:tcW w:w="255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C620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工程级别建议、控制尺寸区间、专业复核项</w:t>
            </w:r>
          </w:p>
        </w:tc>
        <w:tc>
          <w:tcPr>
            <w:tcW w:w="243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A6F8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不替代坝体稳定、地基和结构设计</w:t>
            </w:r>
          </w:p>
        </w:tc>
      </w:tr>
      <w:tr w14:paraId="37ED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B92F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边坡防护选型</w:t>
            </w:r>
          </w:p>
        </w:tc>
        <w:tc>
          <w:tcPr>
            <w:tcW w:w="238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FAB8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坡高、坡率、土/岩性、坡面径流、施工阶段</w:t>
            </w:r>
          </w:p>
        </w:tc>
        <w:tc>
          <w:tcPr>
            <w:tcW w:w="255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55EF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工程/生态/临时防护组合及参数范围</w:t>
            </w:r>
          </w:p>
        </w:tc>
        <w:tc>
          <w:tcPr>
            <w:tcW w:w="243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292A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超高边坡、滑坡等自动触发专项设计</w:t>
            </w:r>
          </w:p>
        </w:tc>
      </w:tr>
      <w:tr w14:paraId="4014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CE13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植物措施推荐</w:t>
            </w:r>
          </w:p>
        </w:tc>
        <w:tc>
          <w:tcPr>
            <w:tcW w:w="238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932D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海拔、气候、土壤、坡向、恢复目标、管护条件</w:t>
            </w:r>
          </w:p>
        </w:tc>
        <w:tc>
          <w:tcPr>
            <w:tcW w:w="255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77C8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草+灌+藤/乔灌草组合、播种/栽植量及养护要点</w:t>
            </w:r>
          </w:p>
        </w:tc>
        <w:tc>
          <w:tcPr>
            <w:tcW w:w="243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935E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先建立试点区域适生植物表</w:t>
            </w:r>
          </w:p>
        </w:tc>
      </w:tr>
    </w:tbl>
    <w:p w14:paraId="33ADB5CF">
      <w:pPr>
        <w:spacing w:after="0"/>
      </w:pPr>
    </w:p>
    <w:p w14:paraId="727AF17B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所有公式应保存公式编号、输入值、单位、结果、适用范围和校核状态。统一采用单位字典和量纲校验，防止平方米/公顷、毫米/米、自然坡度/坡率等常见口径错误。</w:t>
      </w:r>
    </w:p>
    <w:p w14:paraId="3E03B45B">
      <w:pPr>
        <w:pStyle w:val="4"/>
      </w:pPr>
      <w:r>
        <w:t>任务三：投资估算与验收要点生成</w:t>
      </w:r>
    </w:p>
    <w:p w14:paraId="6840A9BB">
      <w:pPr>
        <w:pStyle w:val="5"/>
      </w:pPr>
      <w:r>
        <w:t>1. 投资估算引擎</w:t>
      </w:r>
    </w:p>
    <w:p w14:paraId="713AE8E3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建立不少于 80 项常用措施综合单价条目，记录措施编码、单位、基价、人工/材料/机械构成、地区、价格基期、依据版本和调整系数。</w:t>
      </w:r>
    </w:p>
    <w:p w14:paraId="1469961D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形成“措施—工程量公式—单价—费用分类”映射，自动汇总工程措施费、植物措施费、临时措施费，并按配置计算独立费用、预备费等。</w:t>
      </w:r>
    </w:p>
    <w:p w14:paraId="2A3DDF57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支持项目级人工费、材料价、地区和基期调整；输出原始基价、调整项和结果，避免只给总价无法解释。</w:t>
      </w:r>
    </w:p>
    <w:p w14:paraId="0CFA67D4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提供方案 A/B 对比，展示投资差额、适用条件、维护要求和风险提示，不以最低价作为唯一推荐依据。</w:t>
      </w:r>
    </w:p>
    <w:p w14:paraId="3CC53FEE">
      <w:pPr>
        <w:pStyle w:val="5"/>
      </w:pPr>
      <w:r>
        <w:t>2. 验收要点生成</w:t>
      </w:r>
      <w:bookmarkStart w:id="0" w:name="_GoBack"/>
      <w:bookmarkEnd w:id="0"/>
    </w:p>
    <w:p w14:paraId="3E7D7B17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建立“措施—验收指标—核查方式—阈值/判定依据—资料要求”映射库，覆盖 V1.0 措施目录。</w:t>
      </w:r>
    </w:p>
    <w:p w14:paraId="296C3ED2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按单位工程、分部工程、单元工程层次组织核查项，支持现场量测、无人机/影像核查、资料核查和照片留痕。</w:t>
      </w:r>
    </w:p>
    <w:p w14:paraId="542D6288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服务现行六项防治指标自评：水土流失治理度、土壤流失控制比、渣土防护率、表土保护率、林草植被恢复率、林草覆盖率。</w:t>
      </w:r>
    </w:p>
    <w:p w14:paraId="3CBC4F16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输出 Excel 自查表，包含责任人、计划/完成日期、问题、整改状态和证据链接字段，便于日常闭环。</w:t>
      </w:r>
    </w:p>
    <w:p w14:paraId="655BD6BB">
      <w:pPr>
        <w:pStyle w:val="4"/>
      </w:pPr>
      <w:r>
        <w:t>任务四：C 端原型系统开发与产品化封装</w:t>
      </w:r>
    </w:p>
    <w:p w14:paraId="1F533A2B">
      <w:pPr>
        <w:pStyle w:val="5"/>
      </w:pPr>
      <w:r>
        <w:t>1. 产品工作流</w:t>
      </w:r>
    </w:p>
    <w:p w14:paraId="71E5E24D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在当前桌面端新增“水保决策”工作空间，推荐交互顺序为：选择/创建扰动单元 → 自动提取空间参数 → 引导补齐业务参数 → 运行规则与计算 → 查看命中依据和风险 → 方案比选/人工确认 → 一键生成成果。地图与表单保持双向联动，用户可从图斑进入决策，也可从台账定位图斑。</w:t>
      </w:r>
    </w:p>
    <w:p w14:paraId="4EFEABD5">
      <w:pPr>
        <w:pStyle w:val="5"/>
      </w:pPr>
      <w:r>
        <w:t>2. 软件模块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26FA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F630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F8B8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主要功能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0D10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建议技术落位</w:t>
            </w:r>
          </w:p>
        </w:tc>
      </w:tr>
      <w:tr w14:paraId="32B61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F5C9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水保决策工作台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1D0D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单元台账、分步表单、结果树、方案比选、复核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0948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Qt Widgets/QGIS Dock；独立控制器</w:t>
            </w:r>
          </w:p>
        </w:tc>
      </w:tr>
      <w:tr w14:paraId="6407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C1B0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扰动单元服务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9FD1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图斑关联、参数快照、状态流转、地图联动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F700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QGIS API + GeoPackage 仓储</w:t>
            </w:r>
          </w:p>
        </w:tc>
      </w:tr>
      <w:tr w14:paraId="653B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6925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规则引擎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CA74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条件解析、优先级、冲突、命中链、覆盖度与复核门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B7F5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纯 C++ 领域服务；JSON/SQLite 规则仓储</w:t>
            </w:r>
          </w:p>
        </w:tc>
      </w:tr>
      <w:tr w14:paraId="2F6E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4F6F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计算与估算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154C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水力、工程量、费用分类、调整系数、方案对比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71B6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纯 C++ 计算库；单元测试覆盖</w:t>
            </w:r>
          </w:p>
        </w:tc>
      </w:tr>
      <w:tr w14:paraId="211A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392D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验收生成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720B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措施映射、层级清单、六项指标关联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99B2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本地数据仓储 + 模板服务</w:t>
            </w:r>
          </w:p>
        </w:tc>
      </w:tr>
      <w:tr w14:paraId="0E4D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6E90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报告组件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90E0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DOCX、XLSX、JSON/GeoPackage 输出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FA4D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模板化 OpenXML 适配器，输出至 reports</w:t>
            </w:r>
          </w:p>
        </w:tc>
      </w:tr>
      <w:tr w14:paraId="3B60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708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规则包管理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6C46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导入、校验、版本查看、启停、备份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6BA2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提供受控导入；可视化编辑器列为 P1</w:t>
            </w:r>
          </w:p>
        </w:tc>
      </w:tr>
    </w:tbl>
    <w:p w14:paraId="268A5C26">
      <w:pPr>
        <w:spacing w:after="0"/>
      </w:pPr>
    </w:p>
    <w:p w14:paraId="61F50A3C">
      <w:pPr>
        <w:pStyle w:val="5"/>
      </w:pPr>
      <w:r>
        <w:t>3. 离线部署与接口预留</w:t>
      </w:r>
    </w:p>
    <w:p w14:paraId="2F746870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产品继续采用 Windows 单机离线部署，模型、规则、单价、验收库和模板随安装包交付。对外以版本化 JSON DTO 作为稳定边界，输入扰动单元与参数，输出措施、计算、投资、验收和追溯信息；后续可在不重写核心逻辑的前提下封装为 REST 服务。</w:t>
      </w:r>
    </w:p>
    <w:p w14:paraId="7FB72512">
      <w:pPr>
        <w:pStyle w:val="4"/>
      </w:pPr>
      <w:r>
        <w:t>任务五：试点验证、迭代与成果固化</w:t>
      </w:r>
    </w:p>
    <w:p w14:paraId="69C8CBDB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选取 1 个在建抽水蓄能电站，优先覆盖 1 个沟道型渣场、2 段典型边坡、1 条施工道路和 1 个施工生产生活区中的 3～5 个单元。</w:t>
      </w:r>
    </w:p>
    <w:p w14:paraId="17DD1791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对比正式水保方案/变更成果，采用统一输入口径运行系统；邀请 2～3 名未参与规则编制的专家进行独立评审。</w:t>
      </w:r>
    </w:p>
    <w:p w14:paraId="40E0032A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形成差异分类：输入不足、规则缺失、规则冲突、计算误差、单价口径差异、专家偏好差异；逐项闭环修订。</w:t>
      </w:r>
    </w:p>
    <w:p w14:paraId="4E885B98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冻结 V1.0 规则包、单价包、验收包、报告模板和软件版本，出具试点应用报告、测试报告和发布说明。</w:t>
      </w:r>
    </w:p>
    <w:p w14:paraId="361816FA">
      <w:pPr>
        <w:pStyle w:val="3"/>
      </w:pPr>
      <w:r>
        <w:t>七、系统总体架构与数据架构</w:t>
      </w:r>
    </w:p>
    <w:p w14:paraId="7780CFF7">
      <w:pPr>
        <w:spacing w:after="60"/>
        <w:jc w:val="center"/>
      </w:pPr>
      <w:r>
        <w:drawing>
          <wp:inline distT="0" distB="0" distL="114300" distR="114300">
            <wp:extent cx="5795645" cy="3799205"/>
            <wp:effectExtent l="0" t="0" r="1460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7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EDFC">
      <w:pPr>
        <w:spacing w:after="140"/>
        <w:jc w:val="center"/>
      </w:pPr>
      <w:r>
        <w:rPr>
          <w:rFonts w:ascii="宋体" w:hAnsi="宋体" w:eastAsia="宋体"/>
          <w:color w:val="66737B"/>
          <w:sz w:val="18"/>
        </w:rPr>
        <w:t>图 1  基于现有 C 端的目标产品架构</w:t>
      </w:r>
    </w:p>
    <w:p w14:paraId="4D9BD3EA">
      <w:pPr>
        <w:pStyle w:val="4"/>
      </w:pPr>
      <w:r>
        <w:t>（一）架构原则</w:t>
      </w:r>
    </w:p>
    <w:p w14:paraId="7085BB9E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空间底座复用：继续使用 QGIS/GDAL 的工程、渲染、坐标、几何和分析能力。</w:t>
      </w:r>
    </w:p>
    <w:p w14:paraId="6D0E66B7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决策域解耦：规则、公式、估算和验收不依赖界面对象，可独立测试、批处理和服务化。</w:t>
      </w:r>
    </w:p>
    <w:p w14:paraId="196D361D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数据本地优先：弱网/断网可完成核心流程；规则包可通过受控文件离线升级。</w:t>
      </w:r>
    </w:p>
    <w:p w14:paraId="71B7CFE9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结果可追溯：输入、版本、命中规则、计算、人工修改和输出文件相互关联。</w:t>
      </w:r>
    </w:p>
    <w:p w14:paraId="4AFC553B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人机协同：空间 AI 的“模型置信度”与规则决策的“覆盖度/确定性”分开表达，低确定性结果必须人工复核。</w:t>
      </w:r>
    </w:p>
    <w:p w14:paraId="689D92ED">
      <w:pPr>
        <w:pStyle w:val="4"/>
      </w:pPr>
      <w:r>
        <w:t>（二）数据分层与存储建议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1F28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9489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数据层</w:t>
            </w:r>
          </w:p>
        </w:tc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C279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建议载体</w:t>
            </w:r>
          </w:p>
        </w:tc>
        <w:tc>
          <w:tcPr>
            <w:tcW w:w="374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9C1E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主要内容</w:t>
            </w:r>
          </w:p>
        </w:tc>
        <w:tc>
          <w:tcPr>
            <w:tcW w:w="204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E429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版本策略</w:t>
            </w:r>
          </w:p>
        </w:tc>
      </w:tr>
      <w:tr w14:paraId="726E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10B2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工程空间数据</w:t>
            </w:r>
          </w:p>
        </w:tc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5D23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 GeoPackage + QGIS 工程</w:t>
            </w:r>
          </w:p>
        </w:tc>
        <w:tc>
          <w:tcPr>
            <w:tcW w:w="374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8074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扰动单元、措施布置、工程分区、核查记录、空间关系</w:t>
            </w:r>
          </w:p>
        </w:tc>
        <w:tc>
          <w:tcPr>
            <w:tcW w:w="204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0042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按工程保存，关键成果可创建快照</w:t>
            </w:r>
          </w:p>
        </w:tc>
      </w:tr>
      <w:tr w14:paraId="2F09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DA4D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决策知识数据</w:t>
            </w:r>
          </w:p>
        </w:tc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EB85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knowledge.db（SQLite）</w:t>
            </w:r>
          </w:p>
        </w:tc>
        <w:tc>
          <w:tcPr>
            <w:tcW w:w="374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555A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规则、措施目录、参数字典、公式、来源、版本和评审记录</w:t>
            </w:r>
          </w:p>
        </w:tc>
        <w:tc>
          <w:tcPr>
            <w:tcW w:w="204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A69A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只读发布包；版本号+校验值</w:t>
            </w:r>
          </w:p>
        </w:tc>
      </w:tr>
      <w:tr w14:paraId="3BA19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5F5C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交换规则包</w:t>
            </w:r>
          </w:p>
        </w:tc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AC0A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JSON</w:t>
            </w:r>
          </w:p>
        </w:tc>
        <w:tc>
          <w:tcPr>
            <w:tcW w:w="374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84BC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规则及依赖项的导入导出、审查和后续 API 数据</w:t>
            </w:r>
          </w:p>
        </w:tc>
        <w:tc>
          <w:tcPr>
            <w:tcW w:w="204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387A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语义版本；保留向后兼容迁移</w:t>
            </w:r>
          </w:p>
        </w:tc>
      </w:tr>
      <w:tr w14:paraId="4C247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423C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单价数据</w:t>
            </w:r>
          </w:p>
        </w:tc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F758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SQLite/Excel 导入模板</w:t>
            </w:r>
          </w:p>
        </w:tc>
        <w:tc>
          <w:tcPr>
            <w:tcW w:w="374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9E94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地区、基期、综合单价、构成、调整系数</w:t>
            </w:r>
          </w:p>
        </w:tc>
        <w:tc>
          <w:tcPr>
            <w:tcW w:w="204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1408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与规则包解耦，支持年度更新</w:t>
            </w:r>
          </w:p>
        </w:tc>
      </w:tr>
      <w:tr w14:paraId="4685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E4F1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报告模板</w:t>
            </w:r>
          </w:p>
        </w:tc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E0A0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DOCX/XLSX 模板</w:t>
            </w:r>
          </w:p>
        </w:tc>
        <w:tc>
          <w:tcPr>
            <w:tcW w:w="374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D1EA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建议书、估算表、核查表版式与字段映射</w:t>
            </w:r>
          </w:p>
        </w:tc>
        <w:tc>
          <w:tcPr>
            <w:tcW w:w="204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DA58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 ID + 版本号</w:t>
            </w:r>
          </w:p>
        </w:tc>
      </w:tr>
      <w:tr w14:paraId="624D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495C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运行与审计</w:t>
            </w:r>
          </w:p>
        </w:tc>
        <w:tc>
          <w:tcPr>
            <w:tcW w:w="187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341C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 SQLite/JSON 日志</w:t>
            </w:r>
          </w:p>
        </w:tc>
        <w:tc>
          <w:tcPr>
            <w:tcW w:w="374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F93A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决策任务、输入快照、命中链、人工修订、导出清单</w:t>
            </w:r>
          </w:p>
        </w:tc>
        <w:tc>
          <w:tcPr>
            <w:tcW w:w="204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D61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只追加关键记录，可追溯</w:t>
            </w:r>
          </w:p>
        </w:tc>
      </w:tr>
    </w:tbl>
    <w:p w14:paraId="199C353C">
      <w:pPr>
        <w:spacing w:after="0"/>
      </w:pPr>
    </w:p>
    <w:p w14:paraId="45F23E81">
      <w:pPr>
        <w:pStyle w:val="4"/>
      </w:pPr>
      <w:r>
        <w:t>（三）与现有工程目录的衔接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BDB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F888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现有目录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081C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扩展后的用途</w:t>
            </w:r>
          </w:p>
        </w:tc>
      </w:tr>
      <w:tr w14:paraId="2F9FA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F30A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imagery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36B2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遥感影像、正射影像、必要时的历史影像</w:t>
            </w:r>
          </w:p>
        </w:tc>
      </w:tr>
      <w:tr w14:paraId="1040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DF6F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vectors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0A63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工程分区、道路、沟道、扰动单元来源矢量</w:t>
            </w:r>
          </w:p>
        </w:tc>
      </w:tr>
      <w:tr w14:paraId="56AC8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2B04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models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BDA1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ONNX 扰动识别与交互分割模型</w:t>
            </w:r>
          </w:p>
        </w:tc>
      </w:tr>
      <w:tr w14:paraId="5898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CEE5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results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C20B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扰动单元、措施建议空间成果、决策结果数据库</w:t>
            </w:r>
          </w:p>
        </w:tc>
      </w:tr>
      <w:tr w14:paraId="45E8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CB71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screenshots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6890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单元定位图、措施示意与核查照片索引</w:t>
            </w:r>
          </w:p>
        </w:tc>
      </w:tr>
      <w:tr w14:paraId="52D76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EB5E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reports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CCC3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Word 建议书、Excel 估算表/核查表、JSON 结果包</w:t>
            </w:r>
          </w:p>
        </w:tc>
      </w:tr>
      <w:tr w14:paraId="7F69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BD80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cache</w:t>
            </w:r>
          </w:p>
        </w:tc>
        <w:tc>
          <w:tcPr>
            <w:tcW w:w="72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326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DEM 派生坡度、汇水分析、临时渲染和模型推理缓存</w:t>
            </w:r>
          </w:p>
        </w:tc>
      </w:tr>
    </w:tbl>
    <w:p w14:paraId="1FCC448E">
      <w:pPr>
        <w:spacing w:after="0"/>
      </w:pPr>
    </w:p>
    <w:p w14:paraId="419D8BE7">
      <w:pPr>
        <w:pStyle w:val="3"/>
      </w:pPr>
      <w:r>
        <w:t>八、决策模型与关键业务流程</w:t>
      </w:r>
    </w:p>
    <w:p w14:paraId="5609CBA0">
      <w:pPr>
        <w:pStyle w:val="4"/>
      </w:pPr>
      <w:r>
        <w:t>（一）决策输入模型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7FFD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A56B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参数组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FE9E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代表参数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21C7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获取方式</w:t>
            </w:r>
          </w:p>
        </w:tc>
      </w:tr>
      <w:tr w14:paraId="23DB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A69A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身份与阶段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A9CF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工程、分区、单元类型/子类型、施工阶段、影像期次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41C8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工程属性/人工选择</w:t>
            </w:r>
          </w:p>
        </w:tc>
      </w:tr>
      <w:tr w14:paraId="44D3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06A4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几何与地形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4F82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面积、长度、坡高、坡率、坡向、相对高差、集水面积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B86D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GIS 自动提取+人工校核</w:t>
            </w:r>
          </w:p>
        </w:tc>
      </w:tr>
      <w:tr w14:paraId="2871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4E85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工程规模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C1DF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堆渣量、最大堆高、道路等级/宽度、边坡结构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8CF7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设计资料/人工录入</w:t>
            </w:r>
          </w:p>
        </w:tc>
      </w:tr>
      <w:tr w14:paraId="6D55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632C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立地条件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467C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土壤/岩性、侵蚀强度、植被、海拔、防治分区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EC2D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专题图层/人工录入</w:t>
            </w:r>
          </w:p>
        </w:tc>
      </w:tr>
      <w:tr w14:paraId="26CD8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2F46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水文气象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9B96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多年平均降雨、设计暴雨、径流系数、敏感目标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274A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参数表/图层/人工录入</w:t>
            </w:r>
          </w:p>
        </w:tc>
      </w:tr>
      <w:tr w14:paraId="731E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9824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计价条件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2290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地区、价格基期、人工/材料调整、费率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7EB8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项目级配置</w:t>
            </w:r>
          </w:p>
        </w:tc>
      </w:tr>
      <w:tr w14:paraId="0E74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37B6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质量与验收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6493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目标标准、核查方式、阈值、资料完整性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7690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验收库+项目配置</w:t>
            </w:r>
          </w:p>
        </w:tc>
      </w:tr>
    </w:tbl>
    <w:p w14:paraId="518B980C">
      <w:pPr>
        <w:spacing w:after="0"/>
      </w:pPr>
    </w:p>
    <w:p w14:paraId="576D6D46">
      <w:pPr>
        <w:pStyle w:val="4"/>
      </w:pPr>
      <w:r>
        <w:t>（二）规则执行逻辑</w:t>
      </w:r>
    </w:p>
    <w:p w14:paraId="1CC3B3B2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完整性检查：区分必填、条件必填和可选参数；缺少关键参数时先输出缺项，不进入强结论。</w:t>
      </w:r>
    </w:p>
    <w:p w14:paraId="21403E42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候选规则筛选：按单元类型、阶段、区域、标准版本和有效期形成候选集。</w:t>
      </w:r>
    </w:p>
    <w:p w14:paraId="64752C33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条件求值与优先级：计算规则条件，处理互斥、依赖和高风险优先规则。</w:t>
      </w:r>
    </w:p>
    <w:p w14:paraId="6FEEF54E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措施组合：形成工程、植物、临时三类措施；合并重复项并校验必要措施和禁配关系。</w:t>
      </w:r>
    </w:p>
    <w:p w14:paraId="38DE43F2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参数与工程量：调用公式库生成关键尺寸初值、工程量、单位和适用范围提示。</w:t>
      </w:r>
    </w:p>
    <w:p w14:paraId="23B02F6A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投资与验收：套用价格版本，生成分类汇总；映射验收指标和核查方式。</w:t>
      </w:r>
    </w:p>
    <w:p w14:paraId="5F385A2B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结果分级：输出规则覆盖度、数据完整度和复核级别，保存命中链与人工确认记录。</w:t>
      </w:r>
    </w:p>
    <w:p w14:paraId="0407AEE6">
      <w:pPr>
        <w:pStyle w:val="4"/>
      </w:pPr>
      <w:r>
        <w:t>（三）典型规则链示例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"/>
        <w:gridCol w:w="8901"/>
      </w:tblGrid>
      <w:tr w14:paraId="715E8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2F6690" w:sz="0" w:space="0"/>
              <w:left w:val="single" w:color="2F6690" w:sz="0" w:space="0"/>
              <w:bottom w:val="single" w:color="2F6690" w:sz="0" w:space="0"/>
              <w:right w:val="single" w:color="2F6690" w:sz="0" w:space="0"/>
              <w:insideH w:val="single" w:sz="0" w:space="0"/>
              <w:insideV w:val="single" w:sz="0" w:space="0"/>
            </w:tcBorders>
            <w:shd w:val="clear" w:color="auto" w:fill="2F6690"/>
          </w:tcPr>
          <w:p w14:paraId="4CB0A758"/>
        </w:tc>
        <w:tc>
          <w:tcPr>
            <w:tcW w:w="4592" w:type="dxa"/>
            <w:tcBorders>
              <w:top w:val="single" w:color="E5EEF6" w:sz="0" w:space="0"/>
              <w:left w:val="single" w:color="E5EEF6" w:sz="0" w:space="0"/>
              <w:bottom w:val="single" w:color="E5EEF6" w:sz="0" w:space="0"/>
              <w:right w:val="single" w:color="E5EEF6" w:sz="0" w:space="0"/>
              <w:insideH w:val="single" w:sz="0" w:space="0"/>
              <w:insideV w:val="single" w:sz="0" w:space="0"/>
            </w:tcBorders>
            <w:shd w:val="clear" w:color="auto" w:fill="E5EE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73DD3E">
            <w:pPr>
              <w:spacing w:after="60"/>
            </w:pPr>
            <w:r>
              <w:rPr>
                <w:rFonts w:ascii="微软雅黑" w:hAnsi="微软雅黑" w:eastAsia="微软雅黑"/>
                <w:b/>
                <w:color w:val="2F6690"/>
                <w:sz w:val="21"/>
              </w:rPr>
              <w:t>示例：沟道型渣场</w:t>
            </w:r>
          </w:p>
          <w:p w14:paraId="2F5147AA">
            <w:pPr>
              <w:spacing w:after="0" w:line="324" w:lineRule="auto"/>
            </w:pPr>
            <w:r>
              <w:rPr>
                <w:rFonts w:ascii="宋体" w:hAnsi="宋体" w:eastAsia="宋体"/>
                <w:sz w:val="20"/>
              </w:rPr>
              <w:t>当“单元类型=渣场、子类型=沟道型、堆渣量&gt;50 万 m³”时，候选措施为拦挡工程、上游/周边截水、排洪系统、堆体分级及马道排水、渣面整治与植被恢复。系统继续根据集水面积、设计频率、堆高、下游敏感性和地质资料计算或筛选参数；若拦挡等级高、地质资料缺失或超出规则适用范围，则强制标注“专项设计/稳定复核”，不直接给出可施工结构尺寸。</w:t>
            </w:r>
          </w:p>
        </w:tc>
      </w:tr>
    </w:tbl>
    <w:p w14:paraId="16D9CE41">
      <w:pPr>
        <w:spacing w:after="0"/>
      </w:pPr>
    </w:p>
    <w:p w14:paraId="4EF3FEBE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上述规则链与原始“直接给出浆砌石/混凝土坝高”的表达相比，更符合辅助决策产品边界：系统可以确定措施体系、给出参数区间和计算依据，但不会在缺少地勘、稳定和结构验算时输出貌似精确的工程结论。</w:t>
      </w:r>
    </w:p>
    <w:p w14:paraId="21A8F94D">
      <w:pPr>
        <w:pStyle w:val="4"/>
      </w:pPr>
      <w:r>
        <w:t>（四）结果置信与复核分级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0C0E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5A18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2CB9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判定特征</w:t>
            </w:r>
          </w:p>
        </w:tc>
        <w:tc>
          <w:tcPr>
            <w:tcW w:w="362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F9C3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系统行为</w:t>
            </w:r>
          </w:p>
        </w:tc>
      </w:tr>
      <w:tr w14:paraId="2A92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CCC4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 可直接参考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8999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必填参数完整；规则覆盖充分；无冲突；处于公式适用域</w:t>
            </w:r>
          </w:p>
        </w:tc>
        <w:tc>
          <w:tcPr>
            <w:tcW w:w="362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DDF0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输出推荐方案、计算、投资与验收清单，提示常规专业复核</w:t>
            </w:r>
          </w:p>
        </w:tc>
      </w:tr>
      <w:tr w14:paraId="1594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1941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 建议复核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34FC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存在可补充参数、多个近似方案或地区经验差异</w:t>
            </w:r>
          </w:p>
        </w:tc>
        <w:tc>
          <w:tcPr>
            <w:tcW w:w="362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88E5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 2～3 个备选并列明差异、缺项和专家确认点</w:t>
            </w:r>
          </w:p>
        </w:tc>
      </w:tr>
      <w:tr w14:paraId="3545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7502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 强制专业介入</w:t>
            </w:r>
          </w:p>
        </w:tc>
        <w:tc>
          <w:tcPr>
            <w:tcW w:w="396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C899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高风险工程、关键地质/水文资料缺失、规则冲突或超出适用域</w:t>
            </w:r>
          </w:p>
        </w:tc>
        <w:tc>
          <w:tcPr>
            <w:tcW w:w="362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F703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仅输出原则性措施、资料清单和专项设计要求，不给出确定结构结论</w:t>
            </w:r>
          </w:p>
        </w:tc>
      </w:tr>
    </w:tbl>
    <w:p w14:paraId="13635AD0">
      <w:pPr>
        <w:spacing w:after="0"/>
      </w:pPr>
    </w:p>
    <w:p w14:paraId="48350743">
      <w:pPr>
        <w:pStyle w:val="3"/>
      </w:pPr>
      <w:r>
        <w:t>九、技术路线、关键难点与创新点</w:t>
      </w:r>
    </w:p>
    <w:p w14:paraId="07ECB6D7">
      <w:pPr>
        <w:spacing w:after="60"/>
        <w:jc w:val="center"/>
      </w:pPr>
      <w:r>
        <w:drawing>
          <wp:inline distT="0" distB="0" distL="114300" distR="114300">
            <wp:extent cx="5795645" cy="2736850"/>
            <wp:effectExtent l="0" t="0" r="146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7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CF19">
      <w:pPr>
        <w:spacing w:after="140"/>
        <w:jc w:val="center"/>
      </w:pPr>
      <w:r>
        <w:rPr>
          <w:rFonts w:ascii="宋体" w:hAnsi="宋体" w:eastAsia="宋体"/>
          <w:color w:val="66737B"/>
          <w:sz w:val="18"/>
        </w:rPr>
        <w:t>图 2  技术路线与闭环工作流</w:t>
      </w:r>
    </w:p>
    <w:p w14:paraId="3DB9D4BD">
      <w:pPr>
        <w:pStyle w:val="4"/>
      </w:pPr>
      <w:r>
        <w:t>（一）关键技术难点及对策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74A22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9F3A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难点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106E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风险表现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59E7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对策</w:t>
            </w:r>
          </w:p>
        </w:tc>
      </w:tr>
      <w:tr w14:paraId="2F5D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761B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标准条文规则化存在歧义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6C8E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同一条文在不同工程条件下理解不同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966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规则与来源双绑定；记录解释说明；3～5 名专家交叉评审；发布前测试</w:t>
            </w:r>
          </w:p>
        </w:tc>
      </w:tr>
      <w:tr w14:paraId="6E75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719A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规则覆盖不全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E45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长尾工况被错误套用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2465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适用域、兜底规则、覆盖度和强制复核门；禁止无依据外推</w:t>
            </w:r>
          </w:p>
        </w:tc>
      </w:tr>
      <w:tr w14:paraId="6C38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8F0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空间参数质量不一致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43A8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坐标、分辨率、DEM 精度导致误差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19C3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数据质量检查、来源标记、自动值可人工覆盖、重要参数二次确认</w:t>
            </w:r>
          </w:p>
        </w:tc>
      </w:tr>
      <w:tr w14:paraId="09D5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D7B1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规则冲突与版本漂移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A2CF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标准更新后新旧规则同时生效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3540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语义版本、有效期、优先级、冲突校验、决策输入与规则快照</w:t>
            </w:r>
          </w:p>
        </w:tc>
      </w:tr>
      <w:tr w14:paraId="71FE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273A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单价区域与基期差异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9A29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同一措施价格差异大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A7F0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基价、地区、基期和调整系数分离；允许项目价覆盖且留痕</w:t>
            </w:r>
          </w:p>
        </w:tc>
      </w:tr>
      <w:tr w14:paraId="7474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E123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高风险结果被误用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3E7A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辅助建议被当作施工图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A690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显著责任边界、结果分级、强制复核、报告中自动附适用条件和限制</w:t>
            </w:r>
          </w:p>
        </w:tc>
      </w:tr>
      <w:tr w14:paraId="506D9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BDFF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现有代码耦合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F6E7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新增逻辑进入大控制器后难测试</w:t>
            </w:r>
          </w:p>
        </w:tc>
        <w:tc>
          <w:tcPr>
            <w:tcW w:w="442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36AF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决策域模块化；UI 仅做编排；核心服务纯 C++、独立测试</w:t>
            </w:r>
          </w:p>
        </w:tc>
      </w:tr>
    </w:tbl>
    <w:p w14:paraId="62010BBD">
      <w:pPr>
        <w:spacing w:after="0"/>
      </w:pPr>
    </w:p>
    <w:p w14:paraId="4C3631DB">
      <w:pPr>
        <w:pStyle w:val="4"/>
      </w:pPr>
      <w:r>
        <w:t>（二）预期创新点</w:t>
      </w:r>
    </w:p>
    <w:p w14:paraId="6EEC1424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空间识别与规则决策贯通。把现有 ONNX/SAM2 扰动图斑从“结果展示”升级为具有参数、状态和决策版本的业务对象，实现从遥感发现到措施建议的闭环。</w:t>
      </w:r>
    </w:p>
    <w:p w14:paraId="060AFA47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规则—出处—计算—验收一体化追溯。每项建议不仅回答“做什么”，还回答“为什么、怎么算、如何验”，形成可审计企业规则资产。</w:t>
      </w:r>
    </w:p>
    <w:p w14:paraId="6EC0581E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GIS 自动提参和专家规则协同。面积、坡度、空间关系等由 GIS 计算，地质、阶段和管理条件由人员补充，降低录入负担并避免黑箱决策。</w:t>
      </w:r>
    </w:p>
    <w:p w14:paraId="4889554C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面向风险的人机协同机制。将模型置信度、数据完整度、规则覆盖度和专业复核级别分开管理，对高风险/长尾工况主动收敛结论。</w:t>
      </w:r>
    </w:p>
    <w:p w14:paraId="536F6283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端侧离线内核与服务化接口并存。V1.0 在现场离线可用，同时通过统一 DTO 为后续大模型工具调用和数字孪生接入预留稳定边界。</w:t>
      </w:r>
    </w:p>
    <w:p w14:paraId="673C415A">
      <w:pPr>
        <w:pStyle w:val="3"/>
      </w:pPr>
      <w:r>
        <w:t>十、试点验证与评价方法</w:t>
      </w:r>
    </w:p>
    <w:p w14:paraId="42CC09E5">
      <w:pPr>
        <w:pStyle w:val="4"/>
      </w:pPr>
      <w:r>
        <w:t>（一）试点对象与样本</w:t>
      </w:r>
    </w:p>
    <w:p w14:paraId="05DD1CD2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选取资料相对完整、建设活动正在开展且具备现场核查条件的 1 个抽水蓄能电站。样本优先选择沟道型渣场、典型挖/填方边坡、施工道路和施工生产生活区，最终确定 3～5 个单元。每个单元建立统一“金标准输入表”，确保系统与正式方案采用相同边界、参数和价格基期。</w:t>
      </w:r>
    </w:p>
    <w:p w14:paraId="5D41EACF">
      <w:pPr>
        <w:pStyle w:val="4"/>
      </w:pPr>
      <w:r>
        <w:t>（二）验证步骤</w:t>
      </w:r>
    </w:p>
    <w:p w14:paraId="26730B73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资料准备：收集批复方案、变更、设计、监理/监测、计价资料和现场影像，完成脱敏与输入冻结。</w:t>
      </w:r>
    </w:p>
    <w:p w14:paraId="07270F87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系统独立运行：由未参与规则编制的操作人员按手册完成图斑确认、参数补录和结果输出。</w:t>
      </w:r>
    </w:p>
    <w:p w14:paraId="3197A8BD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专家盲评：隐藏正式方案结论，专家分别评价措施完整性、适用性、参数合理性、风险提示和报告可用性。</w:t>
      </w:r>
    </w:p>
    <w:p w14:paraId="4F68CEE9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定量对比：计算措施匹配、原则性漏项、工程量差异、投资汇总偏差、规则覆盖度和操作耗时。</w:t>
      </w:r>
    </w:p>
    <w:p w14:paraId="167D8282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问题闭环：按缺数据、缺规则、错规则、公式/单位、价格口径、交互问题分类整改并回归测试。</w:t>
      </w:r>
    </w:p>
    <w:p w14:paraId="66F1B998">
      <w:pPr>
        <w:pStyle w:val="14"/>
        <w:spacing w:after="80" w:line="324" w:lineRule="auto"/>
        <w:ind w:left="425" w:hanging="227"/>
      </w:pPr>
      <w:r>
        <w:rPr>
          <w:rFonts w:ascii="宋体" w:hAnsi="宋体" w:eastAsia="宋体"/>
          <w:sz w:val="21"/>
        </w:rPr>
        <w:t>版本冻结：发布软件、规则包、单价包、验收包和模板版本，形成可重复验证的发布基线。</w:t>
      </w:r>
    </w:p>
    <w:p w14:paraId="0267999D">
      <w:pPr>
        <w:pStyle w:val="4"/>
      </w:pPr>
      <w:r>
        <w:t>（三）评价矩阵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6F3E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99B2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评价维度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6878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核心问题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7D90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</w:t>
            </w:r>
          </w:p>
        </w:tc>
      </w:tr>
      <w:tr w14:paraId="28BA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AB23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正确性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B2E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必要措施是否遗漏，禁配措施是否误选，参数是否超适用域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FC73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专家评分、命中规则链、差异清单</w:t>
            </w:r>
          </w:p>
        </w:tc>
      </w:tr>
      <w:tr w14:paraId="53296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9CAB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可解释性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776E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是否能追溯到条款、案例、公式与输入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7A4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报告引用、计算明细、规则版本</w:t>
            </w:r>
          </w:p>
        </w:tc>
      </w:tr>
      <w:tr w14:paraId="04E0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0648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估算可用性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5B4C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汇总投资是否满足方案阶段快速研判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3333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同口径投资对比表</w:t>
            </w:r>
          </w:p>
        </w:tc>
      </w:tr>
      <w:tr w14:paraId="2857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2C9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现场可用性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386E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普通技术员是否能在弱网/断网条件完成流程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B3DF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操作录像/记录、任务耗时、问题单</w:t>
            </w:r>
          </w:p>
        </w:tc>
      </w:tr>
      <w:tr w14:paraId="7C16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2BDF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产品稳定性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C8BF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导入、计算、保存、恢复、导出是否稳定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FD74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功能/异常/回归测试报告</w:t>
            </w:r>
          </w:p>
        </w:tc>
      </w:tr>
      <w:tr w14:paraId="1C7C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2C91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可扩展性</w:t>
            </w:r>
          </w:p>
        </w:tc>
        <w:tc>
          <w:tcPr>
            <w:tcW w:w="45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4BF0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新增单元、规则、地区单价是否需要改核心代码</w:t>
            </w:r>
          </w:p>
        </w:tc>
        <w:tc>
          <w:tcPr>
            <w:tcW w:w="311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7AAF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规则包扩展演示与接口测试</w:t>
            </w:r>
          </w:p>
        </w:tc>
      </w:tr>
    </w:tbl>
    <w:p w14:paraId="12BCE421">
      <w:pPr>
        <w:spacing w:after="0"/>
      </w:pPr>
    </w:p>
    <w:p w14:paraId="631E8312">
      <w:pPr>
        <w:pStyle w:val="3"/>
      </w:pPr>
      <w:r>
        <w:t>十一、现场应用价值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3FDE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6E72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现场问题</w:t>
            </w:r>
          </w:p>
        </w:tc>
        <w:tc>
          <w:tcPr>
            <w:tcW w:w="249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BCB6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当前痛点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E9A0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系统作用</w:t>
            </w:r>
          </w:p>
        </w:tc>
        <w:tc>
          <w:tcPr>
            <w:tcW w:w="221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D211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预期效果</w:t>
            </w:r>
          </w:p>
        </w:tc>
      </w:tr>
      <w:tr w14:paraId="552C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06C4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方案编制和调整慢</w:t>
            </w:r>
          </w:p>
        </w:tc>
        <w:tc>
          <w:tcPr>
            <w:tcW w:w="249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9630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查规范、找案例、等设计院，变更传递周期长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726E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图斑选取后按规则分钟级生成初步建议</w:t>
            </w:r>
          </w:p>
        </w:tc>
        <w:tc>
          <w:tcPr>
            <w:tcW w:w="221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0D77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缩短内部研判周期，为正式设计提供结构化输入</w:t>
            </w:r>
          </w:p>
        </w:tc>
      </w:tr>
      <w:tr w14:paraId="6699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F3AB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施工期措施漏项/错项</w:t>
            </w:r>
          </w:p>
        </w:tc>
        <w:tc>
          <w:tcPr>
            <w:tcW w:w="249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D3CF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一线人员非水保专业，工程、植物、临时措施易割裂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FC97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按单元自动配齐措施并提示必要前置条件</w:t>
            </w:r>
          </w:p>
        </w:tc>
        <w:tc>
          <w:tcPr>
            <w:tcW w:w="221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B7B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降低原则性漏项和返工风险</w:t>
            </w:r>
          </w:p>
        </w:tc>
      </w:tr>
      <w:tr w14:paraId="300F0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5D83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投资估算依据不透明</w:t>
            </w:r>
          </w:p>
        </w:tc>
        <w:tc>
          <w:tcPr>
            <w:tcW w:w="249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B40A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总价依赖经验，口径和价格基期不一致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4D9D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工程量、基价、调整系数和分类汇总全留痕</w:t>
            </w:r>
          </w:p>
        </w:tc>
        <w:tc>
          <w:tcPr>
            <w:tcW w:w="221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6AE3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快速支撑可研、变更和方案比选</w:t>
            </w:r>
          </w:p>
        </w:tc>
      </w:tr>
      <w:tr w14:paraId="3F6C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C9C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验收前突击补资料</w:t>
            </w:r>
          </w:p>
        </w:tc>
        <w:tc>
          <w:tcPr>
            <w:tcW w:w="249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976E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措施与验收证据未在施工期对应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C208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随措施自动生成核查项、责任和证据要求</w:t>
            </w:r>
          </w:p>
        </w:tc>
        <w:tc>
          <w:tcPr>
            <w:tcW w:w="221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E5E3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把验收要求前移到日常自查</w:t>
            </w:r>
          </w:p>
        </w:tc>
      </w:tr>
      <w:tr w14:paraId="3B3E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B2BB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空间成果与台账割裂</w:t>
            </w:r>
          </w:p>
        </w:tc>
        <w:tc>
          <w:tcPr>
            <w:tcW w:w="249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704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图斑、表格、照片、报告难关联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C9AF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依托 QGIS 工程把单元、决策、截图和报告关联</w:t>
            </w:r>
          </w:p>
        </w:tc>
        <w:tc>
          <w:tcPr>
            <w:tcW w:w="221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8753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一处定位、成套归档、可复核</w:t>
            </w:r>
          </w:p>
        </w:tc>
      </w:tr>
      <w:tr w14:paraId="1147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112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基层专业能力不足</w:t>
            </w:r>
          </w:p>
        </w:tc>
        <w:tc>
          <w:tcPr>
            <w:tcW w:w="249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501D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现场依赖少数专家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FF6E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固化专家规则并对低确定性工况主动升级复核</w:t>
            </w:r>
          </w:p>
        </w:tc>
        <w:tc>
          <w:tcPr>
            <w:tcW w:w="221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1D09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扩大经验复用范围但不削弱专业责任</w:t>
            </w:r>
          </w:p>
        </w:tc>
      </w:tr>
    </w:tbl>
    <w:p w14:paraId="25BA8ACA">
      <w:pPr>
        <w:spacing w:after="0"/>
      </w:pPr>
    </w:p>
    <w:p w14:paraId="186169B4">
      <w:pPr>
        <w:pStyle w:val="3"/>
      </w:pPr>
      <w:r>
        <w:t>十二、成果体系与推广转化</w:t>
      </w:r>
    </w:p>
    <w:p w14:paraId="6E491F42">
      <w:pPr>
        <w:pStyle w:val="4"/>
      </w:pPr>
      <w:r>
        <w:t>（一）核心交付成果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892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2DAC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成果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6249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形态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5819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交付要求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B0B9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转化路径</w:t>
            </w:r>
          </w:p>
        </w:tc>
      </w:tr>
      <w:tr w14:paraId="5A26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121F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水保措施智能辅助决策系统 V1.0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CD45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 端软件模块 + 离线部署包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4FEE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P0 功能、测试、版本说明和安装手册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2EB6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抽蓄/输变电建设项目复制；后续作为课题五决策内核</w:t>
            </w:r>
          </w:p>
        </w:tc>
      </w:tr>
      <w:tr w14:paraId="7D9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9E00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决策规则库 V1.0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0D81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SQLite + JSON 规则包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3820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60 条规则/约束，来源与版本完整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6A47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企业数据资产；可独立授权或持续维护</w:t>
            </w:r>
          </w:p>
        </w:tc>
      </w:tr>
      <w:tr w14:paraId="7751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F144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综合单价库 V1.0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B6DD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 + Excel 导入模板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E9D3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80 项，支持地区/基期/系数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2930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年度更新服务和区域扩展</w:t>
            </w:r>
          </w:p>
        </w:tc>
      </w:tr>
      <w:tr w14:paraId="1349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F3FB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验收指标库 V1.0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6FA2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 + 输出模板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E413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覆盖 V1.0 措施目录，关联六项指标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4AB1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施工自查、监理核查与验收准备</w:t>
            </w:r>
          </w:p>
        </w:tc>
      </w:tr>
      <w:tr w14:paraId="6E6D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0A4B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报告模板包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5235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DOCX/XLSX/JSON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37EE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建议书、估算表、核查表均可一键生成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9B5A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公司模板标准化和项目交付</w:t>
            </w:r>
          </w:p>
        </w:tc>
      </w:tr>
      <w:tr w14:paraId="7511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4360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试点应用报告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A4CC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技术报告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7268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含方法、样本、对比、问题与修订证据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43E2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产品推广案例和成果鉴定支撑</w:t>
            </w:r>
          </w:p>
        </w:tc>
      </w:tr>
      <w:tr w14:paraId="181E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A69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知识产权与标准材料</w:t>
            </w:r>
          </w:p>
        </w:tc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A663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软著/论文/企业标准草案</w:t>
            </w:r>
          </w:p>
        </w:tc>
        <w:tc>
          <w:tcPr>
            <w:tcW w:w="289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7A92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软著至少 1 项；论文 1 篇、标准草案 1 项为预期成果</w:t>
            </w:r>
          </w:p>
        </w:tc>
        <w:tc>
          <w:tcPr>
            <w:tcW w:w="272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FD40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成果评价、报奖和市场推广</w:t>
            </w:r>
          </w:p>
        </w:tc>
      </w:tr>
    </w:tbl>
    <w:p w14:paraId="5550F6C6">
      <w:pPr>
        <w:spacing w:after="0"/>
      </w:pPr>
    </w:p>
    <w:p w14:paraId="4777F3C4">
      <w:pPr>
        <w:pStyle w:val="4"/>
      </w:pPr>
      <w:r>
        <w:t>（二）产品版本路径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6744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687E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B8EF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产品能力</w:t>
            </w:r>
          </w:p>
        </w:tc>
        <w:tc>
          <w:tcPr>
            <w:tcW w:w="28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5390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商业/推广形态</w:t>
            </w:r>
          </w:p>
        </w:tc>
      </w:tr>
      <w:tr w14:paraId="515F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1709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专项预研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32FE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 类闭环、三库、离线 C 端、三件套报告、单站验证</w:t>
            </w:r>
          </w:p>
        </w:tc>
        <w:tc>
          <w:tcPr>
            <w:tcW w:w="28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1458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内部试用、软著、示范站点</w:t>
            </w:r>
          </w:p>
        </w:tc>
      </w:tr>
      <w:tr w14:paraId="1AB4E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D09E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V1.5 区域推广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A660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扩展 8～10 类、规则管理工具、多区域价格包、更多案例验证</w:t>
            </w:r>
          </w:p>
        </w:tc>
        <w:tc>
          <w:tcPr>
            <w:tcW w:w="28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6AA8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项目授权 + 年度数据维护</w:t>
            </w:r>
          </w:p>
        </w:tc>
      </w:tr>
      <w:tr w14:paraId="0F91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8E93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V2.0 课题五融合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6678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知识图谱/RAG、大模型对话填参、工具调用、服务 API</w:t>
            </w:r>
          </w:p>
        </w:tc>
        <w:tc>
          <w:tcPr>
            <w:tcW w:w="28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4591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企业级合规问答与决策平台</w:t>
            </w:r>
          </w:p>
        </w:tc>
      </w:tr>
      <w:tr w14:paraId="0E90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795F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V3.0 数字孪生融合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4E8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施工进度、监测数据、无人机变化、整改闭环联动</w:t>
            </w:r>
          </w:p>
        </w:tc>
        <w:tc>
          <w:tcPr>
            <w:tcW w:w="283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3306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抽蓄建设期环水保数字孪生模块</w:t>
            </w:r>
          </w:p>
        </w:tc>
      </w:tr>
    </w:tbl>
    <w:p w14:paraId="170E4494">
      <w:pPr>
        <w:spacing w:after="0"/>
      </w:pPr>
    </w:p>
    <w:p w14:paraId="500C1AD9">
      <w:pPr>
        <w:pStyle w:val="3"/>
      </w:pPr>
      <w:r>
        <w:t>十三、实施计划与组织保障</w:t>
      </w:r>
    </w:p>
    <w:p w14:paraId="6F552E7F">
      <w:pPr>
        <w:pStyle w:val="4"/>
      </w:pPr>
      <w:r>
        <w:t>（一）12 个月进度安排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3B20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226C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124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4D83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月份</w:t>
            </w:r>
          </w:p>
        </w:tc>
        <w:tc>
          <w:tcPr>
            <w:tcW w:w="37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86DF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主要工作</w:t>
            </w:r>
          </w:p>
        </w:tc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E453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里程碑/交付</w:t>
            </w:r>
          </w:p>
        </w:tc>
      </w:tr>
      <w:tr w14:paraId="1233C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E35C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1：需求与知识建模</w:t>
            </w:r>
          </w:p>
        </w:tc>
        <w:tc>
          <w:tcPr>
            <w:tcW w:w="124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C99F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 1～2 月</w:t>
            </w:r>
          </w:p>
        </w:tc>
        <w:tc>
          <w:tcPr>
            <w:tcW w:w="37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2AE5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现有 C 端适配设计；标准/案例清单；专家访谈；数据字典和分类框架</w:t>
            </w:r>
          </w:p>
        </w:tc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5124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M1：需求规格、数据模型、知识源清单</w:t>
            </w:r>
          </w:p>
        </w:tc>
      </w:tr>
      <w:tr w14:paraId="4C92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3ACF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2：三库与原型</w:t>
            </w:r>
          </w:p>
        </w:tc>
        <w:tc>
          <w:tcPr>
            <w:tcW w:w="124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159F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 3～4 月</w:t>
            </w:r>
          </w:p>
        </w:tc>
        <w:tc>
          <w:tcPr>
            <w:tcW w:w="37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49AD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规则建模、措施目录、单价/验收库；规则引擎和扰动单元原型</w:t>
            </w:r>
          </w:p>
        </w:tc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3692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M2：规则包 Alpha、核心引擎测试</w:t>
            </w:r>
          </w:p>
        </w:tc>
      </w:tr>
      <w:tr w14:paraId="6AF8F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2829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3：计算与产品集成</w:t>
            </w:r>
          </w:p>
        </w:tc>
        <w:tc>
          <w:tcPr>
            <w:tcW w:w="124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7A55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 5～7 月</w:t>
            </w:r>
          </w:p>
        </w:tc>
        <w:tc>
          <w:tcPr>
            <w:tcW w:w="37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B3CE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GIS 提参、参数计算、估算、验收映射、工作台和报告组件</w:t>
            </w:r>
          </w:p>
        </w:tc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96EC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M3：可运行 Beta，完成 4 类主流程</w:t>
            </w:r>
          </w:p>
        </w:tc>
      </w:tr>
      <w:tr w14:paraId="4B82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1D6F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4：试点与评审</w:t>
            </w:r>
          </w:p>
        </w:tc>
        <w:tc>
          <w:tcPr>
            <w:tcW w:w="124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F7F7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 8～10 月</w:t>
            </w:r>
          </w:p>
        </w:tc>
        <w:tc>
          <w:tcPr>
            <w:tcW w:w="37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CA14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现场数据、3～5 单元运行、专家盲评、偏差分析和迭代</w:t>
            </w:r>
          </w:p>
        </w:tc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A2C4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M4：试点报告初稿、候选发布版</w:t>
            </w:r>
          </w:p>
        </w:tc>
      </w:tr>
      <w:tr w14:paraId="6438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ECC4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5：定版与转化</w:t>
            </w:r>
          </w:p>
        </w:tc>
        <w:tc>
          <w:tcPr>
            <w:tcW w:w="124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4CA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 11～12 月</w:t>
            </w:r>
          </w:p>
        </w:tc>
        <w:tc>
          <w:tcPr>
            <w:tcW w:w="37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EBBC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回归测试、V1.0 冻结、部署/使用材料、软著和推广材料</w:t>
            </w:r>
          </w:p>
        </w:tc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DD1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M5：V1.0 正式交付</w:t>
            </w:r>
          </w:p>
        </w:tc>
      </w:tr>
    </w:tbl>
    <w:p w14:paraId="0AC7877D">
      <w:pPr>
        <w:spacing w:after="0"/>
      </w:pPr>
    </w:p>
    <w:p w14:paraId="1BDB764C">
      <w:pPr>
        <w:pStyle w:val="4"/>
      </w:pPr>
      <w:r>
        <w:t>（二）组织分工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1F23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5C22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C351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主要职责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DF9D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关键产出</w:t>
            </w:r>
          </w:p>
        </w:tc>
      </w:tr>
      <w:tr w14:paraId="643E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BD6D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项目负责人/产品负责人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337C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目标、范围、资源、里程碑和试点协调；最终验收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C467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任务书、决策记录、发布确认</w:t>
            </w:r>
          </w:p>
        </w:tc>
      </w:tr>
      <w:tr w14:paraId="4E68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9FB2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水保专业组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54F4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标准/案例解析、规则编制、公式和验收指标、专家组织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CF03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三库内容、规则说明、专业测试</w:t>
            </w:r>
          </w:p>
        </w:tc>
      </w:tr>
      <w:tr w14:paraId="3614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43BB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软件研发组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CCC7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模块设计、规则引擎、计算、GIS 集成、报告和安装包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0985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源代码、软件、测试和部署文档</w:t>
            </w:r>
          </w:p>
        </w:tc>
      </w:tr>
      <w:tr w14:paraId="2E84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2CF1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数据与测试组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1460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数据清洗、规则校验、测试用例、缺陷和版本管理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0955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数据包、测试报告、追溯清单</w:t>
            </w:r>
          </w:p>
        </w:tc>
      </w:tr>
      <w:tr w14:paraId="30C8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E68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试点单位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C901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提供脱敏资料、现场条件、操作反馈和对比依据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3D25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试点数据、核查记录、应用证明</w:t>
            </w:r>
          </w:p>
        </w:tc>
      </w:tr>
      <w:tr w14:paraId="7870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7307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专家组</w:t>
            </w:r>
          </w:p>
        </w:tc>
        <w:tc>
          <w:tcPr>
            <w:tcW w:w="464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E49A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规则评审、盲评、重大差异裁决和成果咨询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8BE3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评审意见、评分表、签字记录</w:t>
            </w:r>
          </w:p>
        </w:tc>
      </w:tr>
    </w:tbl>
    <w:p w14:paraId="08D1DBA0">
      <w:pPr>
        <w:spacing w:after="0"/>
      </w:pPr>
    </w:p>
    <w:p w14:paraId="3E0930A1">
      <w:pPr>
        <w:pStyle w:val="4"/>
      </w:pPr>
      <w:r>
        <w:t>（三）质量保障</w:t>
      </w:r>
    </w:p>
    <w:p w14:paraId="010AB0C2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需求基线：以 P0/P1 功能、输入输出和责任边界作为范围控制依据。</w:t>
      </w:r>
    </w:p>
    <w:p w14:paraId="2D797894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规则评审：专业编制、交叉校核、专家确认、发布审批四步闭环。</w:t>
      </w:r>
    </w:p>
    <w:p w14:paraId="64AC5803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软件测试：核心规则和计算采用单元测试；关键流程采用回归、异常、断网和数据迁移测试。</w:t>
      </w:r>
    </w:p>
    <w:p w14:paraId="1DA0032D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数据质量：规则、单价和验收库均执行必填、唯一、单位、版本、来源和引用完整性校验。</w:t>
      </w:r>
    </w:p>
    <w:p w14:paraId="300C762C">
      <w:pPr>
        <w:pStyle w:val="16"/>
        <w:spacing w:after="60" w:line="324" w:lineRule="auto"/>
        <w:ind w:left="397" w:hanging="198"/>
      </w:pPr>
      <w:r>
        <w:rPr>
          <w:rFonts w:ascii="宋体" w:hAnsi="宋体" w:eastAsia="宋体"/>
          <w:sz w:val="21"/>
        </w:rPr>
        <w:t>发布管理：软件、三库和模板分别编号但在发布清单中绑定，确保试点结果可复现。</w:t>
      </w:r>
    </w:p>
    <w:p w14:paraId="71D4DE9E">
      <w:pPr>
        <w:pStyle w:val="3"/>
      </w:pPr>
      <w:r>
        <w:t>十四、经费概算</w:t>
      </w:r>
    </w:p>
    <w:p w14:paraId="196E8ADE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经费总额控制在 10 万元左右。考虑现有 QGIS/C++ 空间底座、ONNX 推理、智能分割和工程管理能力可直接复用，本次软件费用聚焦决策域与报告闭环；相应提高数据建库投入，确保形成真正可转化的规则资产。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169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401D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科目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6918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金额（万元）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9784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C744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720E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2E2F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软件开发与集成费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8ADD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4.0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EC88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A9E1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扰动单元、规则引擎、计算/估算、验收生成、C 端工作台、报告适配和测试</w:t>
            </w:r>
          </w:p>
        </w:tc>
      </w:tr>
      <w:tr w14:paraId="494E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081C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数据建库费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E5D9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2.5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C4F1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638E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标准/案例数字化，规则库、单价库、验收指标库和测试样本整理</w:t>
            </w:r>
          </w:p>
        </w:tc>
      </w:tr>
      <w:tr w14:paraId="4CAE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A0FD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专家咨询费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7FC9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2098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23BD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3～5 名专家访谈、规则评审及 2～3 名专家试点盲评</w:t>
            </w:r>
          </w:p>
        </w:tc>
      </w:tr>
      <w:tr w14:paraId="61C2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4358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试点差旅与测试费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C8F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4AB7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372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试点现场调研、资料采集、核查和测试环境</w:t>
            </w:r>
          </w:p>
        </w:tc>
      </w:tr>
      <w:tr w14:paraId="528A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1D1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软著及资料费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590A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001C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D8BA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软著申报、报告/手册与成果材料</w:t>
            </w:r>
          </w:p>
        </w:tc>
      </w:tr>
      <w:tr w14:paraId="7E7A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820E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不可预见费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AA19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DCA2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D321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价格数据补充、兼容性或现场测试调整</w:t>
            </w:r>
          </w:p>
        </w:tc>
      </w:tr>
      <w:tr w14:paraId="2B8B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222E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D73C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w="1020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56A9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w="493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84BA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 w14:paraId="28CE0A3E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"/>
        <w:gridCol w:w="8901"/>
      </w:tblGrid>
      <w:tr w14:paraId="14A1E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C67A16" w:sz="0" w:space="0"/>
              <w:left w:val="single" w:color="C67A16" w:sz="0" w:space="0"/>
              <w:bottom w:val="single" w:color="C67A16" w:sz="0" w:space="0"/>
              <w:right w:val="single" w:color="C67A16" w:sz="0" w:space="0"/>
              <w:insideH w:val="single" w:sz="0" w:space="0"/>
              <w:insideV w:val="single" w:sz="0" w:space="0"/>
            </w:tcBorders>
            <w:shd w:val="clear" w:color="auto" w:fill="C67A16"/>
          </w:tcPr>
          <w:p w14:paraId="25FA6CE2"/>
        </w:tc>
        <w:tc>
          <w:tcPr>
            <w:tcW w:w="4592" w:type="dxa"/>
            <w:tcBorders>
              <w:top w:val="single" w:color="F7EAD7" w:sz="0" w:space="0"/>
              <w:left w:val="single" w:color="F7EAD7" w:sz="0" w:space="0"/>
              <w:bottom w:val="single" w:color="F7EAD7" w:sz="0" w:space="0"/>
              <w:right w:val="single" w:color="F7EAD7" w:sz="0" w:space="0"/>
              <w:insideH w:val="single" w:sz="0" w:space="0"/>
              <w:insideV w:val="single" w:sz="0" w:space="0"/>
            </w:tcBorders>
            <w:shd w:val="clear" w:color="auto" w:fill="F7EAD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0355EC">
            <w:pPr>
              <w:spacing w:after="60"/>
            </w:pPr>
            <w:r>
              <w:rPr>
                <w:rFonts w:ascii="微软雅黑" w:hAnsi="微软雅黑" w:eastAsia="微软雅黑"/>
                <w:b/>
                <w:color w:val="C67A16"/>
                <w:sz w:val="21"/>
              </w:rPr>
              <w:t>经费使用原则</w:t>
            </w:r>
          </w:p>
          <w:p w14:paraId="5FE24628">
            <w:pPr>
              <w:spacing w:after="0" w:line="324" w:lineRule="auto"/>
            </w:pPr>
            <w:r>
              <w:rPr>
                <w:rFonts w:ascii="宋体" w:hAnsi="宋体" w:eastAsia="宋体"/>
                <w:sz w:val="20"/>
              </w:rPr>
              <w:t>预算不承担新建 GIS 底座、通用 Web 门户或大模型训练；若必须新增复杂结构计算、全国价格库或大规模多站验证，应另行追加经费并调整任务边界。</w:t>
            </w:r>
          </w:p>
        </w:tc>
      </w:tr>
    </w:tbl>
    <w:p w14:paraId="72F86CC2">
      <w:pPr>
        <w:spacing w:after="0"/>
      </w:pPr>
    </w:p>
    <w:p w14:paraId="256E479F">
      <w:pPr>
        <w:pStyle w:val="3"/>
      </w:pPr>
      <w:r>
        <w:t>十五、风险分析与对策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2800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552D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4828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可能性/影响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EBB3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主要对策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CA15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触发后的范围调整</w:t>
            </w:r>
          </w:p>
        </w:tc>
      </w:tr>
      <w:tr w14:paraId="434B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B9BB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案例资料难获取或不可出域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D872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中/高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6A5E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提前签署数据清单；现场脱敏；只抽取规则特征，不复制敏感原文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F96B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以不少于 5 个可用案例和专家补证替代</w:t>
            </w:r>
          </w:p>
        </w:tc>
      </w:tr>
      <w:tr w14:paraId="3679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48DA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试点工程进度不匹配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96C8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中/高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2EB0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月前确定主备试点；允许已完成单元回溯验证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3A4E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切换备选站点或采用历史单元+现场复核</w:t>
            </w:r>
          </w:p>
        </w:tc>
      </w:tr>
      <w:tr w14:paraId="3405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1622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规则数量膨胀导致延期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4C06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高/中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2225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锁定 4 类 P0 闭环；其余仅做模型和模板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E53A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 内容移入 V1.5，不挤占核心闭环</w:t>
            </w:r>
          </w:p>
        </w:tc>
      </w:tr>
      <w:tr w14:paraId="575B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6FE0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单价口径无法统一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D53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高/中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6230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定义基期、地区、费率和材料价边界；同口径比较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14A8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不评价单项绝对价格，只评汇总和计算链</w:t>
            </w:r>
          </w:p>
        </w:tc>
      </w:tr>
      <w:tr w14:paraId="7F7D1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83A0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现有客户端编译/耦合风险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9CE8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中/中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9F76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独立模块与核心库；优先复用稳定 QGIS API；设置回归基线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7762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必要时以独立动态库/进程适配，保持 DTO 不变</w:t>
            </w:r>
          </w:p>
        </w:tc>
      </w:tr>
      <w:tr w14:paraId="5D77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EA1A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报告被误作正式设计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EBBC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低/高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456C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报告自动附适用范围、复核等级和免责声明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5C72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高风险工况只输出资料和专业复核要求</w:t>
            </w:r>
          </w:p>
        </w:tc>
      </w:tr>
      <w:tr w14:paraId="115C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D7CA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标准更新</w:t>
            </w:r>
          </w:p>
        </w:tc>
        <w:tc>
          <w:tcPr>
            <w:tcW w:w="1361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8471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中/中</w:t>
            </w:r>
          </w:p>
        </w:tc>
        <w:tc>
          <w:tcPr>
            <w:tcW w:w="385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7346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标准版本、有效期与规则包分离；发布前复核现行有效性</w:t>
            </w:r>
          </w:p>
        </w:tc>
        <w:tc>
          <w:tcPr>
            <w:tcW w:w="209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7C45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通过新规则包升级，不修改历史结果</w:t>
            </w:r>
          </w:p>
        </w:tc>
      </w:tr>
    </w:tbl>
    <w:p w14:paraId="4E0E564F">
      <w:pPr>
        <w:spacing w:after="0"/>
      </w:pPr>
    </w:p>
    <w:p w14:paraId="3B6873D1">
      <w:pPr>
        <w:pStyle w:val="3"/>
      </w:pPr>
      <w:r>
        <w:t>十六、与后续课题的衔接</w:t>
      </w:r>
    </w:p>
    <w:p w14:paraId="454A4B1E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本预研形成的规则库、单价库、验收指标库和计算服务是课题五可直接复用的决策知识底座；扰动单元、决策结果和报告 DTO 是后续系统接口契约。课题五完整项目可在此基础上叠加法规/标准文档 RAG、知识图谱和大模型对话层：大模型负责理解问题、补齐参数和解释结果，规则引擎负责确定性计算与合规约束，两者职责清晰。</w:t>
      </w:r>
    </w:p>
    <w:p w14:paraId="66EE9EFE">
      <w:pPr>
        <w:spacing w:after="100" w:line="360" w:lineRule="auto"/>
        <w:ind w:firstLine="420"/>
        <w:jc w:val="both"/>
      </w:pPr>
      <w:r>
        <w:rPr>
          <w:rFonts w:ascii="宋体" w:hAnsi="宋体" w:eastAsia="宋体"/>
          <w:sz w:val="21"/>
        </w:rPr>
        <w:t>与数字孪生平台衔接时，可将扰动单元和措施对象挂接到施工进度、无人机监测和整改任务，实现“识别变化—触发决策—安排措施—过程核查—指标评价”的时空闭环。由于核心逻辑与界面解耦，后续服务化不会推翻 V1.0 数据和规则资产。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592C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1CBA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本预研资产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76BD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课题五大模型系统</w:t>
            </w:r>
          </w:p>
        </w:tc>
        <w:tc>
          <w:tcPr>
            <w:tcW w:w="334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C508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数字孪生/其他平台</w:t>
            </w:r>
          </w:p>
        </w:tc>
      </w:tr>
      <w:tr w14:paraId="65E9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1EB4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规则与计算服务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8936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作为工具调用，提供确定性建议和计算</w:t>
            </w:r>
          </w:p>
        </w:tc>
        <w:tc>
          <w:tcPr>
            <w:tcW w:w="334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69A0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作为决策微服务或本地 SDK</w:t>
            </w:r>
          </w:p>
        </w:tc>
      </w:tr>
      <w:tr w14:paraId="15E1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4D14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标准/案例来源元数据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4B33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 RAG 索引和答案引用</w:t>
            </w:r>
          </w:p>
        </w:tc>
        <w:tc>
          <w:tcPr>
            <w:tcW w:w="334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EC8F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作为合规审计依据</w:t>
            </w:r>
          </w:p>
        </w:tc>
      </w:tr>
      <w:tr w14:paraId="3079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6A87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扰动单元与结果 DTO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1C45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支持自然语言补参和结果解释</w:t>
            </w:r>
          </w:p>
        </w:tc>
        <w:tc>
          <w:tcPr>
            <w:tcW w:w="334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70E3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关联时空对象、进度和监测</w:t>
            </w:r>
          </w:p>
        </w:tc>
      </w:tr>
      <w:tr w14:paraId="73DE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27C0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单价/验收数据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98A8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支持对话式估算和核查问答</w:t>
            </w:r>
          </w:p>
        </w:tc>
        <w:tc>
          <w:tcPr>
            <w:tcW w:w="334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1CF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支持年度更新、任务派发和验收闭环</w:t>
            </w:r>
          </w:p>
        </w:tc>
      </w:tr>
      <w:tr w14:paraId="2A6A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BCB0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试点证据与测试集</w:t>
            </w:r>
          </w:p>
        </w:tc>
        <w:tc>
          <w:tcPr>
            <w:tcW w:w="3402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2934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用于评测大模型工具调用正确性</w:t>
            </w:r>
          </w:p>
        </w:tc>
        <w:tc>
          <w:tcPr>
            <w:tcW w:w="334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9E3F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用于跨站点复制验证</w:t>
            </w:r>
          </w:p>
        </w:tc>
      </w:tr>
    </w:tbl>
    <w:p w14:paraId="6E5EE04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"/>
        <w:gridCol w:w="8901"/>
      </w:tblGrid>
      <w:tr w14:paraId="23195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0B6B57" w:sz="0" w:space="0"/>
              <w:left w:val="single" w:color="0B6B57" w:sz="0" w:space="0"/>
              <w:bottom w:val="single" w:color="0B6B57" w:sz="0" w:space="0"/>
              <w:right w:val="single" w:color="0B6B57" w:sz="0" w:space="0"/>
              <w:insideH w:val="single" w:sz="0" w:space="0"/>
              <w:insideV w:val="single" w:sz="0" w:space="0"/>
            </w:tcBorders>
            <w:shd w:val="clear" w:color="auto" w:fill="0B6B57"/>
          </w:tcPr>
          <w:p w14:paraId="7E9537EF"/>
        </w:tc>
        <w:tc>
          <w:tcPr>
            <w:tcW w:w="4592" w:type="dxa"/>
            <w:tcBorders>
              <w:top w:val="single" w:color="DDEFEA" w:sz="0" w:space="0"/>
              <w:left w:val="single" w:color="DDEFEA" w:sz="0" w:space="0"/>
              <w:bottom w:val="single" w:color="DDEFEA" w:sz="0" w:space="0"/>
              <w:right w:val="single" w:color="DDEFEA" w:sz="0" w:space="0"/>
              <w:insideH w:val="single" w:sz="0" w:space="0"/>
              <w:insideV w:val="single" w:sz="0" w:space="0"/>
            </w:tcBorders>
            <w:shd w:val="clear" w:color="auto" w:fill="DDEF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08046C">
            <w:pPr>
              <w:spacing w:after="60"/>
            </w:pPr>
            <w:r>
              <w:rPr>
                <w:rFonts w:ascii="微软雅黑" w:hAnsi="微软雅黑" w:eastAsia="微软雅黑"/>
                <w:b/>
                <w:color w:val="0B6B57"/>
                <w:sz w:val="21"/>
              </w:rPr>
              <w:t>结论</w:t>
            </w:r>
          </w:p>
          <w:p w14:paraId="0AC846CC">
            <w:pPr>
              <w:spacing w:after="0" w:line="324" w:lineRule="auto"/>
            </w:pPr>
            <w:r>
              <w:rPr>
                <w:rFonts w:ascii="宋体" w:hAnsi="宋体" w:eastAsia="宋体"/>
                <w:sz w:val="20"/>
              </w:rPr>
              <w:t>依托现有 C 端建设 V1.0，可以用有限经费把已具备的“扰动识别与核查”能力延伸为“识别—决策—估算—验收—报告”产品闭环。项目的首要成果不是界面数量，而是一套经试点验证、可追溯、可持续迭代并能被后续平台调用的水土保持决策内核。</w:t>
            </w:r>
          </w:p>
        </w:tc>
      </w:tr>
    </w:tbl>
    <w:p w14:paraId="19B5E708">
      <w:pPr>
        <w:spacing w:after="0"/>
      </w:pPr>
    </w:p>
    <w:p w14:paraId="0D313C70">
      <w:r>
        <w:br w:type="page"/>
      </w:r>
    </w:p>
    <w:p w14:paraId="0ADB6943">
      <w:pPr>
        <w:pStyle w:val="3"/>
      </w:pPr>
      <w:r>
        <w:t>附录 A：V1.0 功能优先级清单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5B62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25FE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FF63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0E7C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V1.0 交付判定</w:t>
            </w:r>
          </w:p>
        </w:tc>
      </w:tr>
      <w:tr w14:paraId="6805B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A384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E2B1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抽蓄水保工程模板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2C58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可新建工程并管理项目信息、目录、图层与决策数据</w:t>
            </w:r>
          </w:p>
        </w:tc>
      </w:tr>
      <w:tr w14:paraId="39D5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77F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3273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扰动单元台账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597B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识别/绘制图斑可转单元；支持状态、参数、版本和地图定位</w:t>
            </w:r>
          </w:p>
        </w:tc>
      </w:tr>
      <w:tr w14:paraId="2E50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FF24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A12C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GIS 参数提取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1518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面积、周长、基础坡度/高差等可自动提取并记录来源</w:t>
            </w:r>
          </w:p>
        </w:tc>
      </w:tr>
      <w:tr w14:paraId="2ACB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FA6E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C96E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引导式参数录入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1136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 4 类核心单元显示条件字段、单位、缺项和校验</w:t>
            </w:r>
          </w:p>
        </w:tc>
      </w:tr>
      <w:tr w14:paraId="5457D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9FD4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45F2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规则引擎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581A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支持条件、优先级、依赖/互斥、版本、命中链和复核门</w:t>
            </w:r>
          </w:p>
        </w:tc>
      </w:tr>
      <w:tr w14:paraId="5D41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B122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8693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关键参数计算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8A7C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水力、典型工程量、边坡/植物推荐按 V1.0 规则运行</w:t>
            </w:r>
          </w:p>
        </w:tc>
      </w:tr>
      <w:tr w14:paraId="77E7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FCDE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5A62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投资估算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4986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单价套用、调整系数、费用分类、方案对比和 Excel 输出</w:t>
            </w:r>
          </w:p>
        </w:tc>
      </w:tr>
      <w:tr w14:paraId="2F83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05FF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13BA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验收清单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0456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措施映射、核查方式/依据、责任与证据字段、Excel 输出</w:t>
            </w:r>
          </w:p>
        </w:tc>
      </w:tr>
      <w:tr w14:paraId="43173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1F08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5229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Word 建议书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A38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包含单元概况、措施、计算、投资、验收、依据和限制</w:t>
            </w:r>
          </w:p>
        </w:tc>
      </w:tr>
      <w:tr w14:paraId="6343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5DB4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93CB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保存与追溯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7C0E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保存输入快照、规则/价格/模板版本、人工修改和输出文件</w:t>
            </w:r>
          </w:p>
        </w:tc>
      </w:tr>
      <w:tr w14:paraId="2DB42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BCDD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4782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离线部署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E16F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无网络完成核心功能，规则包可离线导入并校验</w:t>
            </w:r>
          </w:p>
        </w:tc>
      </w:tr>
      <w:tr w14:paraId="067DB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9CAE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32F7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8～10 类全部深度规则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4C27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完成数据模型和扩展模板，深度内容可进入 V1.5</w:t>
            </w:r>
          </w:p>
        </w:tc>
      </w:tr>
      <w:tr w14:paraId="0695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FF2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AED0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可视化规则编辑器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E048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仅需受控导入、校验和版本查看</w:t>
            </w:r>
          </w:p>
        </w:tc>
      </w:tr>
      <w:tr w14:paraId="1BCB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6061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2791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多站协同与用户权限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6739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单机项目级使用，企业协同后续建设</w:t>
            </w:r>
          </w:p>
        </w:tc>
      </w:tr>
      <w:tr w14:paraId="20CC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28E7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5860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知识图谱/RAG/大模型问答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D364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仅保留数据与工具接口，不在本次经费内</w:t>
            </w:r>
          </w:p>
        </w:tc>
      </w:tr>
      <w:tr w14:paraId="1859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89BB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948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3D69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移动端/完整 B/S 系统</w:t>
            </w:r>
          </w:p>
        </w:tc>
        <w:tc>
          <w:tcPr>
            <w:tcW w:w="498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7CAB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不在 V1.0 建设范围</w:t>
            </w:r>
          </w:p>
        </w:tc>
      </w:tr>
    </w:tbl>
    <w:p w14:paraId="353DA0C5">
      <w:pPr>
        <w:spacing w:after="0"/>
      </w:pPr>
    </w:p>
    <w:p w14:paraId="419F18CF">
      <w:pPr>
        <w:pStyle w:val="3"/>
      </w:pPr>
      <w:r>
        <w:t>附录 B：规则数据结构示例</w:t>
      </w:r>
    </w:p>
    <w:p w14:paraId="6A724020">
      <w:pPr>
        <w:spacing w:after="100" w:line="360" w:lineRule="auto"/>
        <w:jc w:val="both"/>
      </w:pPr>
      <w:r>
        <w:rPr>
          <w:rFonts w:ascii="宋体" w:hAnsi="宋体" w:eastAsia="宋体"/>
          <w:sz w:val="21"/>
        </w:rPr>
        <w:t>以下为逻辑结构示例，用于说明规则资产必须包含条件、输出、来源和复核门。实际交付采用经过评审的数据字典与 JSON Schema。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5"/>
      </w:tblGrid>
      <w:tr w14:paraId="736E8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3F5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CDB26FE">
            <w:pPr>
              <w:spacing w:after="0"/>
            </w:pPr>
            <w:r>
              <w:rPr>
                <w:rFonts w:ascii="Consolas" w:hAnsi="Consolas" w:eastAsia="微软雅黑"/>
                <w:color w:val="24333B"/>
                <w:sz w:val="17"/>
              </w:rPr>
              <w:t>{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"rule_id": "SP-GULLY-001",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"version": "1.0.0",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"unit_type": "渣场",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"subtype": "沟道型",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"conditions": [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  {"field": "spoil_volume_m3", "op": "&gt;", "value": 500000}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],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"outputs": [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  {"measure": "拦挡工程", "required": true},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  {"measure": "截排水系统", "required": true},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  {"measure": "堆体整形与植被恢复", "required": true}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],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"review_gate": "高风险工程须专项设计及稳定复核",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"sources": [{"document": "现行标准/案例/专家纪要", "clause": "待绑定"}],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 xml:space="preserve">  "status": "reviewed"</w:t>
            </w:r>
            <w:r>
              <w:br w:type="textWrapping"/>
            </w:r>
            <w:r>
              <w:rPr>
                <w:rFonts w:ascii="Consolas" w:hAnsi="Consolas" w:eastAsia="微软雅黑"/>
                <w:color w:val="24333B"/>
                <w:sz w:val="17"/>
              </w:rPr>
              <w:t>}</w:t>
            </w:r>
          </w:p>
        </w:tc>
      </w:tr>
    </w:tbl>
    <w:p w14:paraId="17EB1CC5">
      <w:pPr>
        <w:spacing w:after="100" w:line="360" w:lineRule="auto"/>
        <w:jc w:val="both"/>
      </w:pPr>
      <w:r>
        <w:rPr>
          <w:rFonts w:ascii="宋体" w:hAnsi="宋体" w:eastAsia="宋体"/>
          <w:color w:val="66737B"/>
          <w:sz w:val="19"/>
        </w:rPr>
        <w:t>说明：本示例不固化具体工程设计结论。“待绑定”内容在规则发布前必须替换为现行有效依据、条款或经签字确认的专家纪要；计算类输出还需关联公式编号、单位和适用范围。</w:t>
      </w:r>
    </w:p>
    <w:p w14:paraId="47BA7F54">
      <w:pPr>
        <w:pStyle w:val="3"/>
      </w:pPr>
      <w:r>
        <w:t>附录 C：主要依据与版本管理原则</w:t>
      </w:r>
    </w:p>
    <w:p w14:paraId="2318FC41">
      <w:pPr>
        <w:spacing w:after="100" w:line="360" w:lineRule="auto"/>
        <w:jc w:val="both"/>
      </w:pPr>
      <w:r>
        <w:rPr>
          <w:rFonts w:ascii="宋体" w:hAnsi="宋体" w:eastAsia="宋体"/>
          <w:sz w:val="21"/>
        </w:rPr>
        <w:t>V1.0 知识源应至少覆盖下列类别。由于标准、定额和管理文件会更新，项目启动和 V1.0 发布前应由专业组再次核验名称、编号、现行有效状态、适用范围及替代关系，系统规则不得仅凭文件名长期固化。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12B9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0669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249B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建议纳入的主要依据（以现行有效版本为准）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0B6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DCD7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数字化重点</w:t>
            </w:r>
          </w:p>
        </w:tc>
      </w:tr>
      <w:tr w14:paraId="5DED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DE66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生产建设项目技术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FBD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《生产建设项目水土保持技术标准》GB 50433 等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A4F1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防治责任范围、措施总体布设、设计要求</w:t>
            </w:r>
          </w:p>
        </w:tc>
      </w:tr>
      <w:tr w14:paraId="384F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EFD0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防治目标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49FA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《生产建设项目水土流失防治标准》GB/T 50434 等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7891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目标等级、六项防治指标及地区修正</w:t>
            </w:r>
          </w:p>
        </w:tc>
      </w:tr>
      <w:tr w14:paraId="558A1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4E8E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工程设计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1B3D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《水土保持工程设计规范》GB 51018 等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A6FE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工程措施选型、参数、设计频率和校核要求</w:t>
            </w:r>
          </w:p>
        </w:tc>
      </w:tr>
      <w:tr w14:paraId="20FC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1593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水利水电工程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E70C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《水利水电工程水土保持技术规范》SL 575 等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E1A3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抽蓄/水利水电施工区、渣场、道路等行业要求</w:t>
            </w:r>
          </w:p>
        </w:tc>
      </w:tr>
      <w:tr w14:paraId="01FF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B2CF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监测评价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0A85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《生产建设项目水土保持监测与评价标准》GB/T 51240 等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0914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监测对象、方法、评价和数据留痕</w:t>
            </w:r>
          </w:p>
        </w:tc>
      </w:tr>
      <w:tr w14:paraId="2B8C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E231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质量与验收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AA7C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水土保持工程质量评定、生产建设项目水土保持设施自主验收相关现行规程和文件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B900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单位/分部/单元工程、核查方法、资料和判定依据</w:t>
            </w:r>
          </w:p>
        </w:tc>
      </w:tr>
      <w:tr w14:paraId="1C6D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6445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概（估）算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2FAB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水土保持工程概（估）算编制规定、定额及项目所在地现行计价文件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52DB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项目划分、单价构成、费率、地区和基期调整</w:t>
            </w:r>
          </w:p>
        </w:tc>
      </w:tr>
      <w:tr w14:paraId="7F5A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799E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企业与流域要求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9A8A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水利部、流域管理机构、国网公司及建设单位现行环水保制度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1BF0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企业控制要求、审批/复核节点和表单</w:t>
            </w:r>
          </w:p>
        </w:tc>
      </w:tr>
      <w:tr w14:paraId="79CB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64AC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工程案例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2FF3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5～10 个抽蓄电站方案、变更、监理、监测和验收材料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62AC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条件—措施—工程量—问题—整改的结构化实例</w:t>
            </w:r>
          </w:p>
        </w:tc>
      </w:tr>
      <w:tr w14:paraId="07DA3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CF6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专家经验</w:t>
            </w:r>
          </w:p>
        </w:tc>
        <w:tc>
          <w:tcPr>
            <w:tcW w:w="4819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A96F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3～5 名专家访谈和评审纪要</w:t>
            </w:r>
          </w:p>
        </w:tc>
        <w:tc>
          <w:tcPr>
            <w:tcW w:w="2665" w:type="dxa"/>
            <w:tcBorders>
              <w:top w:val="single" w:color="B8C2C7" w:sz="6" w:space="0"/>
              <w:left w:val="single" w:color="B8C2C7" w:sz="6" w:space="0"/>
              <w:bottom w:val="single" w:color="B8C2C7" w:sz="6" w:space="0"/>
              <w:right w:val="single" w:color="B8C2C7" w:sz="6" w:space="0"/>
              <w:insideH w:val="single" w:sz="6" w:space="0"/>
              <w:insideV w:val="single" w:sz="6" w:space="0"/>
            </w:tcBorders>
            <w:shd w:val="clear" w:color="auto" w:fill="F7F9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B473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长尾工况、优先级、禁配关系、复核门</w:t>
            </w:r>
          </w:p>
        </w:tc>
      </w:tr>
    </w:tbl>
    <w:p w14:paraId="6CB66621">
      <w:pPr>
        <w:spacing w:after="0"/>
      </w:pPr>
    </w:p>
    <w:p w14:paraId="41134467">
      <w:pPr>
        <w:spacing w:after="100" w:line="360" w:lineRule="auto"/>
        <w:jc w:val="both"/>
      </w:pPr>
      <w:r>
        <w:rPr>
          <w:rFonts w:ascii="宋体" w:hAnsi="宋体" w:eastAsia="宋体"/>
          <w:b/>
          <w:sz w:val="21"/>
        </w:rPr>
        <w:t>版本管理原则：</w:t>
      </w:r>
      <w:r>
        <w:rPr>
          <w:rFonts w:ascii="宋体" w:hAnsi="宋体" w:eastAsia="宋体"/>
          <w:sz w:val="21"/>
        </w:rPr>
        <w:t>规则包、单价包、验收包和模板包分别版本化；每次决策绑定完整版本组合。标准更新时发布新规则版本，历史结果保持原版本可追溯；跨版本比较必须显示规则和价格变化。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304" w:right="1304" w:bottom="1247" w:left="1417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仿宋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2D59E">
    <w:pPr>
      <w:pStyle w:val="24"/>
      <w:spacing w:before="0"/>
      <w:jc w:val="center"/>
    </w:pPr>
    <w:r>
      <w:rPr>
        <w:rFonts w:ascii="微软雅黑" w:hAnsi="微软雅黑" w:eastAsia="微软雅黑"/>
        <w:color w:val="66737B"/>
        <w:sz w:val="16"/>
      </w:rPr>
      <w:t xml:space="preserve">专项预研方案  |  </w:t>
    </w:r>
    <w:r>
      <w:fldChar w:fldCharType="begin"/>
    </w:r>
    <w:r>
      <w:instrText xml:space="preserve">PAGE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22CC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4F536">
    <w:pPr>
      <w:pStyle w:val="25"/>
      <w:pBdr>
        <w:bottom w:val="single" w:color="0B6B57" w:sz="4" w:space="4"/>
      </w:pBdr>
      <w:spacing w:after="0"/>
      <w:jc w:val="right"/>
    </w:pPr>
    <w:r>
      <w:rPr>
        <w:rFonts w:ascii="微软雅黑" w:hAnsi="微软雅黑" w:eastAsia="微软雅黑"/>
        <w:color w:val="66737B"/>
        <w:sz w:val="16"/>
      </w:rPr>
      <w:t>抽水蓄能电站建设期水土保持措施智能辅助决策系统研发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5F4E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1B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276" w:lineRule="auto"/>
      <w:outlineLvl w:val="0"/>
    </w:pPr>
    <w:rPr>
      <w:rFonts w:asciiTheme="majorHAnsi" w:hAnsiTheme="majorHAnsi" w:eastAsiaTheme="majorEastAsia" w:cstheme="majorBidi"/>
      <w:b/>
      <w:bCs/>
      <w:color w:val="0B6B5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24333B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2F669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 w:line="276" w:lineRule="auto"/>
    </w:pPr>
    <w:rPr>
      <w:rFonts w:asciiTheme="majorHAnsi" w:hAnsiTheme="majorHAnsi" w:eastAsiaTheme="majorEastAsia" w:cstheme="majorBidi"/>
      <w:i/>
      <w:iCs/>
      <w:color w:val="66737B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00" w:line="276" w:lineRule="auto"/>
      <w:contextualSpacing/>
    </w:pPr>
    <w:rPr>
      <w:rFonts w:asciiTheme="majorHAnsi" w:hAnsiTheme="majorHAnsi" w:eastAsiaTheme="majorEastAsia" w:cstheme="majorBidi"/>
      <w:b/>
      <w:color w:val="24333B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3335</Words>
  <Characters>3683</Characters>
  <Lines>0</Lines>
  <Paragraphs>0</Paragraphs>
  <TotalTime>318</TotalTime>
  <ScaleCrop>false</ScaleCrop>
  <LinksUpToDate>false</LinksUpToDate>
  <CharactersWithSpaces>3840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基于现有 QGIS/C++ 离线桌面端架构重构</dc:description>
  <cp:keywords>抽水蓄能；水土保持；智能辅助决策；规则引擎；QGIS；C端</cp:keywords>
  <cp:lastModifiedBy>黑梦</cp:lastModifiedBy>
  <dcterms:modified xsi:type="dcterms:W3CDTF">2026-08-19T07:48:12Z</dcterms:modified>
  <dc:subject>课题五·研究内容3专项预研</dc:subject>
  <dc:title>抽水蓄能电站建设期水土保持措施智能辅助决策系统研发——预研项目方案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eyJoZGlkIjoiY2U3MDAyOThmMTQ0OTZlMjg4NTYxMjI0YWU0NTRiOWQiLCJ1c2VySWQiOiI5OTQ1NzEzMDQifQ==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5292E4E47CD24686917122CAB71D0932_12</vt:lpwstr>
  </property>
</Properties>
</file>