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61366" w14:textId="535620FA" w:rsidR="00AC36B9" w:rsidRDefault="00000000">
      <w:pPr>
        <w:spacing w:after="875" w:line="259" w:lineRule="auto"/>
        <w:ind w:left="0" w:right="238" w:firstLine="0"/>
        <w:jc w:val="center"/>
      </w:pPr>
      <w:r>
        <w:rPr>
          <w:b/>
          <w:sz w:val="29"/>
        </w:rPr>
        <w:t>QUANTITATIVE FINANCE RESEARCH PROJECT</w:t>
      </w:r>
    </w:p>
    <w:p w14:paraId="0B32F465" w14:textId="77777777" w:rsidR="00AC36B9" w:rsidRDefault="00000000">
      <w:pPr>
        <w:spacing w:after="878" w:line="259" w:lineRule="auto"/>
        <w:ind w:left="907" w:firstLine="0"/>
      </w:pPr>
      <w:r>
        <w:rPr>
          <w:noProof/>
        </w:rPr>
        <mc:AlternateContent>
          <mc:Choice Requires="wpg">
            <w:drawing>
              <wp:inline distT="0" distB="0" distL="0" distR="0" wp14:anchorId="2B9890CB" wp14:editId="16F78FE5">
                <wp:extent cx="4957242" cy="10122"/>
                <wp:effectExtent l="0" t="0" r="0" b="0"/>
                <wp:docPr id="9122" name="Group 9122"/>
                <wp:cNvGraphicFramePr/>
                <a:graphic xmlns:a="http://schemas.openxmlformats.org/drawingml/2006/main">
                  <a:graphicData uri="http://schemas.microsoft.com/office/word/2010/wordprocessingGroup">
                    <wpg:wgp>
                      <wpg:cNvGrpSpPr/>
                      <wpg:grpSpPr>
                        <a:xfrm>
                          <a:off x="0" y="0"/>
                          <a:ext cx="4957242" cy="10122"/>
                          <a:chOff x="0" y="0"/>
                          <a:chExt cx="4957242" cy="10122"/>
                        </a:xfrm>
                      </wpg:grpSpPr>
                      <wps:wsp>
                        <wps:cNvPr id="7" name="Shape 7"/>
                        <wps:cNvSpPr/>
                        <wps:spPr>
                          <a:xfrm>
                            <a:off x="0" y="0"/>
                            <a:ext cx="4957242" cy="0"/>
                          </a:xfrm>
                          <a:custGeom>
                            <a:avLst/>
                            <a:gdLst/>
                            <a:ahLst/>
                            <a:cxnLst/>
                            <a:rect l="0" t="0" r="0" b="0"/>
                            <a:pathLst>
                              <a:path w="4957242">
                                <a:moveTo>
                                  <a:pt x="0" y="0"/>
                                </a:moveTo>
                                <a:lnTo>
                                  <a:pt x="495724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22" style="width:390.334pt;height:0.797pt;mso-position-horizontal-relative:char;mso-position-vertical-relative:line" coordsize="49572,101">
                <v:shape id="Shape 7" style="position:absolute;width:49572;height:0;left:0;top:0;" coordsize="4957242,0" path="m0,0l4957242,0">
                  <v:stroke weight="0.797pt" endcap="flat" joinstyle="miter" miterlimit="10" on="true" color="#000000"/>
                  <v:fill on="false" color="#000000" opacity="0"/>
                </v:shape>
              </v:group>
            </w:pict>
          </mc:Fallback>
        </mc:AlternateContent>
      </w:r>
    </w:p>
    <w:p w14:paraId="3CD66CFB" w14:textId="77777777" w:rsidR="00AC36B9" w:rsidRDefault="00000000">
      <w:pPr>
        <w:spacing w:after="285" w:line="216" w:lineRule="auto"/>
        <w:ind w:left="0" w:right="213" w:firstLine="0"/>
        <w:jc w:val="center"/>
      </w:pPr>
      <w:r>
        <w:rPr>
          <w:b/>
          <w:sz w:val="41"/>
        </w:rPr>
        <w:t>VALIDATING THE RANDOM WALK HYPOTHESIS IN INDIAN STOCK MARKETS</w:t>
      </w:r>
    </w:p>
    <w:p w14:paraId="091FAC0F" w14:textId="77777777" w:rsidR="00AC36B9" w:rsidRDefault="00000000">
      <w:pPr>
        <w:spacing w:after="36" w:line="223" w:lineRule="auto"/>
        <w:ind w:left="158" w:right="386"/>
        <w:jc w:val="center"/>
      </w:pPr>
      <w:r>
        <w:rPr>
          <w:sz w:val="24"/>
        </w:rPr>
        <w:t>A Statistical Test of the Wiener Process Assumption for NSE</w:t>
      </w:r>
    </w:p>
    <w:p w14:paraId="1F186AE2" w14:textId="77777777" w:rsidR="00AC36B9" w:rsidRDefault="00000000">
      <w:pPr>
        <w:spacing w:after="587" w:line="223" w:lineRule="auto"/>
        <w:ind w:left="158" w:right="386"/>
        <w:jc w:val="center"/>
      </w:pPr>
      <w:r>
        <w:rPr>
          <w:sz w:val="24"/>
        </w:rPr>
        <w:t>Equity Price Increments: Stationarity, Autocorrelation Decay, and Empirical Return Distributions</w:t>
      </w:r>
    </w:p>
    <w:p w14:paraId="06C912C2" w14:textId="77777777" w:rsidR="00AC36B9" w:rsidRDefault="00000000">
      <w:pPr>
        <w:spacing w:after="1335" w:line="259" w:lineRule="auto"/>
        <w:ind w:left="907" w:firstLine="0"/>
      </w:pPr>
      <w:r>
        <w:rPr>
          <w:noProof/>
        </w:rPr>
        <mc:AlternateContent>
          <mc:Choice Requires="wpg">
            <w:drawing>
              <wp:inline distT="0" distB="0" distL="0" distR="0" wp14:anchorId="3257F6FE" wp14:editId="73AB4DF4">
                <wp:extent cx="4957242" cy="10122"/>
                <wp:effectExtent l="0" t="0" r="0" b="0"/>
                <wp:docPr id="9123" name="Group 9123"/>
                <wp:cNvGraphicFramePr/>
                <a:graphic xmlns:a="http://schemas.openxmlformats.org/drawingml/2006/main">
                  <a:graphicData uri="http://schemas.microsoft.com/office/word/2010/wordprocessingGroup">
                    <wpg:wgp>
                      <wpg:cNvGrpSpPr/>
                      <wpg:grpSpPr>
                        <a:xfrm>
                          <a:off x="0" y="0"/>
                          <a:ext cx="4957242" cy="10122"/>
                          <a:chOff x="0" y="0"/>
                          <a:chExt cx="4957242" cy="10122"/>
                        </a:xfrm>
                      </wpg:grpSpPr>
                      <wps:wsp>
                        <wps:cNvPr id="13" name="Shape 13"/>
                        <wps:cNvSpPr/>
                        <wps:spPr>
                          <a:xfrm>
                            <a:off x="0" y="0"/>
                            <a:ext cx="4957242" cy="0"/>
                          </a:xfrm>
                          <a:custGeom>
                            <a:avLst/>
                            <a:gdLst/>
                            <a:ahLst/>
                            <a:cxnLst/>
                            <a:rect l="0" t="0" r="0" b="0"/>
                            <a:pathLst>
                              <a:path w="4957242">
                                <a:moveTo>
                                  <a:pt x="0" y="0"/>
                                </a:moveTo>
                                <a:lnTo>
                                  <a:pt x="495724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23" style="width:390.334pt;height:0.797pt;mso-position-horizontal-relative:char;mso-position-vertical-relative:line" coordsize="49572,101">
                <v:shape id="Shape 13" style="position:absolute;width:49572;height:0;left:0;top:0;" coordsize="4957242,0" path="m0,0l4957242,0">
                  <v:stroke weight="0.797pt" endcap="flat" joinstyle="miter" miterlimit="10" on="true" color="#000000"/>
                  <v:fill on="false" color="#000000" opacity="0"/>
                </v:shape>
              </v:group>
            </w:pict>
          </mc:Fallback>
        </mc:AlternateContent>
      </w:r>
    </w:p>
    <w:p w14:paraId="6AE147DC" w14:textId="77777777" w:rsidR="00AC36B9" w:rsidRDefault="00000000">
      <w:pPr>
        <w:ind w:right="462"/>
      </w:pPr>
      <w:r>
        <w:t>Domain Quantitative Finance / Econophysics</w:t>
      </w:r>
    </w:p>
    <w:p w14:paraId="5F8EA347" w14:textId="77777777" w:rsidR="00AC36B9" w:rsidRDefault="00000000">
      <w:pPr>
        <w:ind w:right="462"/>
      </w:pPr>
      <w:r>
        <w:t>Market National Stock Exchange of India (NSE)</w:t>
      </w:r>
    </w:p>
    <w:p w14:paraId="7E1ACB68" w14:textId="77777777" w:rsidR="00AC36B9" w:rsidRDefault="00000000">
      <w:pPr>
        <w:spacing w:after="29"/>
        <w:ind w:right="462"/>
      </w:pPr>
      <w:r>
        <w:t>Method Time-series diagnostics, distributional fitting</w:t>
      </w:r>
    </w:p>
    <w:p w14:paraId="64FA5535" w14:textId="77777777" w:rsidR="00AC36B9" w:rsidRDefault="00000000">
      <w:pPr>
        <w:spacing w:after="1458"/>
        <w:ind w:right="462"/>
      </w:pPr>
      <w:r>
        <w:t xml:space="preserve">Sample Simulated NSE-calibrated daily series, </w:t>
      </w:r>
      <w:r>
        <w:rPr>
          <w:rFonts w:ascii="Cambria" w:eastAsia="Cambria" w:hAnsi="Cambria" w:cs="Cambria"/>
          <w:i/>
        </w:rPr>
        <w:t xml:space="preserve">n </w:t>
      </w:r>
      <w:r>
        <w:rPr>
          <w:rFonts w:ascii="Cambria" w:eastAsia="Cambria" w:hAnsi="Cambria" w:cs="Cambria"/>
        </w:rPr>
        <w:t xml:space="preserve">= 1000 </w:t>
      </w:r>
      <w:r>
        <w:t>trading days</w:t>
      </w:r>
    </w:p>
    <w:p w14:paraId="0F5527D5" w14:textId="50E5C343" w:rsidR="002A2752" w:rsidRDefault="00000000" w:rsidP="002A2752">
      <w:pPr>
        <w:spacing w:after="1195" w:line="259" w:lineRule="auto"/>
        <w:ind w:left="0" w:right="238" w:firstLine="0"/>
        <w:jc w:val="center"/>
        <w:rPr>
          <w:i/>
        </w:rPr>
      </w:pPr>
      <w:r>
        <w:rPr>
          <w:i/>
        </w:rPr>
        <w:t>Submitted as part of independent research work</w:t>
      </w:r>
      <w:r w:rsidR="002A2752">
        <w:rPr>
          <w:i/>
        </w:rPr>
        <w:t>.</w:t>
      </w:r>
    </w:p>
    <w:p w14:paraId="79775271" w14:textId="77777777" w:rsidR="002A2752" w:rsidRPr="002A2752" w:rsidRDefault="002A2752" w:rsidP="002A2752">
      <w:pPr>
        <w:spacing w:after="1195" w:line="259" w:lineRule="auto"/>
        <w:ind w:left="0" w:right="238" w:firstLine="0"/>
        <w:jc w:val="center"/>
        <w:rPr>
          <w:i/>
        </w:rPr>
      </w:pPr>
    </w:p>
    <w:p w14:paraId="0DFC5026" w14:textId="77777777" w:rsidR="00AC36B9" w:rsidRDefault="00000000">
      <w:pPr>
        <w:spacing w:after="485" w:line="259" w:lineRule="auto"/>
        <w:ind w:left="907" w:firstLine="0"/>
      </w:pPr>
      <w:r>
        <w:rPr>
          <w:noProof/>
        </w:rPr>
        <mc:AlternateContent>
          <mc:Choice Requires="wpg">
            <w:drawing>
              <wp:inline distT="0" distB="0" distL="0" distR="0" wp14:anchorId="0DDA881F" wp14:editId="13A4D81E">
                <wp:extent cx="4957242" cy="5055"/>
                <wp:effectExtent l="0" t="0" r="0" b="0"/>
                <wp:docPr id="9124" name="Group 9124"/>
                <wp:cNvGraphicFramePr/>
                <a:graphic xmlns:a="http://schemas.openxmlformats.org/drawingml/2006/main">
                  <a:graphicData uri="http://schemas.microsoft.com/office/word/2010/wordprocessingGroup">
                    <wpg:wgp>
                      <wpg:cNvGrpSpPr/>
                      <wpg:grpSpPr>
                        <a:xfrm>
                          <a:off x="0" y="0"/>
                          <a:ext cx="4957242" cy="5055"/>
                          <a:chOff x="0" y="0"/>
                          <a:chExt cx="4957242" cy="5055"/>
                        </a:xfrm>
                      </wpg:grpSpPr>
                      <wps:wsp>
                        <wps:cNvPr id="22" name="Shape 22"/>
                        <wps:cNvSpPr/>
                        <wps:spPr>
                          <a:xfrm>
                            <a:off x="0" y="0"/>
                            <a:ext cx="4957242" cy="0"/>
                          </a:xfrm>
                          <a:custGeom>
                            <a:avLst/>
                            <a:gdLst/>
                            <a:ahLst/>
                            <a:cxnLst/>
                            <a:rect l="0" t="0" r="0" b="0"/>
                            <a:pathLst>
                              <a:path w="4957242">
                                <a:moveTo>
                                  <a:pt x="0" y="0"/>
                                </a:moveTo>
                                <a:lnTo>
                                  <a:pt x="495724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24" style="width:390.334pt;height:0.398pt;mso-position-horizontal-relative:char;mso-position-vertical-relative:line" coordsize="49572,50">
                <v:shape id="Shape 22" style="position:absolute;width:49572;height:0;left:0;top:0;" coordsize="4957242,0" path="m0,0l4957242,0">
                  <v:stroke weight="0.398pt" endcap="flat" joinstyle="miter" miterlimit="10" on="true" color="#000000"/>
                  <v:fill on="false" color="#000000" opacity="0"/>
                </v:shape>
              </v:group>
            </w:pict>
          </mc:Fallback>
        </mc:AlternateContent>
      </w:r>
    </w:p>
    <w:p w14:paraId="239B8910" w14:textId="77777777" w:rsidR="00AC36B9" w:rsidRDefault="00000000">
      <w:pPr>
        <w:spacing w:line="259" w:lineRule="auto"/>
        <w:ind w:left="10" w:right="238"/>
        <w:jc w:val="center"/>
      </w:pPr>
      <w:r>
        <w:t>P Yugendran</w:t>
      </w:r>
    </w:p>
    <w:p w14:paraId="20E5FAB0" w14:textId="77777777" w:rsidR="00AC36B9" w:rsidRDefault="00000000">
      <w:pPr>
        <w:spacing w:after="25" w:line="259" w:lineRule="auto"/>
        <w:ind w:left="10" w:right="238"/>
        <w:jc w:val="center"/>
      </w:pPr>
      <w:r>
        <w:t>Agent Reze Gen (BETA)</w:t>
      </w:r>
    </w:p>
    <w:p w14:paraId="31CEFD8B" w14:textId="77777777" w:rsidR="00AC36B9" w:rsidRDefault="00000000">
      <w:pPr>
        <w:spacing w:line="259" w:lineRule="auto"/>
        <w:ind w:left="10" w:right="369"/>
        <w:jc w:val="center"/>
      </w:pPr>
      <w:r>
        <w:t>31 Aug 26</w:t>
      </w:r>
    </w:p>
    <w:p w14:paraId="6CE17B89" w14:textId="77777777" w:rsidR="00AC36B9" w:rsidRDefault="00000000">
      <w:pPr>
        <w:spacing w:after="165" w:line="264" w:lineRule="auto"/>
        <w:ind w:left="213"/>
      </w:pPr>
      <w:r>
        <w:rPr>
          <w:b/>
          <w:sz w:val="29"/>
        </w:rPr>
        <w:lastRenderedPageBreak/>
        <w:t>Abstract</w:t>
      </w:r>
    </w:p>
    <w:p w14:paraId="214D1FE5" w14:textId="77777777" w:rsidR="00AC36B9" w:rsidRDefault="00000000">
      <w:pPr>
        <w:ind w:left="213" w:right="462"/>
      </w:pPr>
      <w:r>
        <w:t>The Random Walk Hypothesis (RWH) asserts that successive price changes in a speculative market are independent and identically distributed, so that the logarithm of price behaves as a discrete-time analogue of a Wiener process: stationary increments, zero autocorrelation, and Gaussian-distributed shocks. This project tests the three pillars of that claim on a National Stock Exchange (NSE) equity price series: (i) stationarity of the price level versus the return series, via the Augmented Dickey-Fuller (ADF) and KPSS tests; (ii) the rate of decay of the autocorrelation function (ACF) of returns against the ACF of squared and absolute returns; and (iii) the shape of the empirical return density relative to a fitted Gaussian, and relative to two heavy-tailed alternatives, the Weibull and Gamma distributions, fitted to the absolute-return tail. The results support the weak form of the hypothesis - the price level is integrated of order one and returns are stationary and essentially uncorrelated - but reject the strict Wiener-process assumption of Gaussian, independent increments. Returns exhibit excess kurtosis, mild skew, and pronounced volatility clustering, and the Weibull/Gamma fits dominate the Gaussian fit by both the Kolmogorov-Smirnov statistic and the Akaike Information Criterion. This is consistent with the well documented stylised facts of financial returns and motivates GARCH-type and subordinated/heavy-tailed models over plain geometric Brownian motion.</w:t>
      </w:r>
      <w:r>
        <w:br w:type="page"/>
      </w:r>
    </w:p>
    <w:sdt>
      <w:sdtPr>
        <w:id w:val="884303849"/>
        <w:docPartObj>
          <w:docPartGallery w:val="Table of Contents"/>
        </w:docPartObj>
      </w:sdtPr>
      <w:sdtContent>
        <w:p w14:paraId="26CD680A" w14:textId="77777777" w:rsidR="00AC36B9" w:rsidRDefault="00000000">
          <w:pPr>
            <w:spacing w:after="212" w:line="264" w:lineRule="auto"/>
            <w:ind w:left="213"/>
          </w:pPr>
          <w:r>
            <w:rPr>
              <w:b/>
              <w:sz w:val="29"/>
            </w:rPr>
            <w:t>Contents</w:t>
          </w:r>
        </w:p>
        <w:p w14:paraId="311D04ED" w14:textId="77777777" w:rsidR="00AC36B9" w:rsidRDefault="00000000">
          <w:pPr>
            <w:pStyle w:val="TOC1"/>
            <w:tabs>
              <w:tab w:val="right" w:pos="9859"/>
            </w:tabs>
          </w:pPr>
          <w:r>
            <w:fldChar w:fldCharType="begin"/>
          </w:r>
          <w:r>
            <w:instrText xml:space="preserve"> TOC \o "1-2" \h \z \u </w:instrText>
          </w:r>
          <w:r>
            <w:fldChar w:fldCharType="separate"/>
          </w:r>
          <w:hyperlink w:anchor="_Toc12848">
            <w:r>
              <w:rPr>
                <w:b/>
              </w:rPr>
              <w:t>1 Introduction</w:t>
            </w:r>
            <w:r>
              <w:tab/>
            </w:r>
            <w:r>
              <w:fldChar w:fldCharType="begin"/>
            </w:r>
            <w:r>
              <w:instrText>PAGEREF _Toc12848 \h</w:instrText>
            </w:r>
            <w:r>
              <w:fldChar w:fldCharType="separate"/>
            </w:r>
            <w:r>
              <w:rPr>
                <w:b/>
              </w:rPr>
              <w:t>3</w:t>
            </w:r>
            <w:r>
              <w:fldChar w:fldCharType="end"/>
            </w:r>
          </w:hyperlink>
        </w:p>
        <w:p w14:paraId="4152C1E7" w14:textId="77777777" w:rsidR="00AC36B9" w:rsidRDefault="00000000">
          <w:pPr>
            <w:pStyle w:val="TOC2"/>
            <w:tabs>
              <w:tab w:val="right" w:pos="9859"/>
            </w:tabs>
          </w:pPr>
          <w:hyperlink w:anchor="_Toc12849">
            <w:r>
              <w:t>1.1 Data</w:t>
            </w:r>
            <w:r>
              <w:tab/>
            </w:r>
            <w:r>
              <w:fldChar w:fldCharType="begin"/>
            </w:r>
            <w:r>
              <w:instrText>PAGEREF _Toc12849 \h</w:instrText>
            </w:r>
            <w:r>
              <w:fldChar w:fldCharType="separate"/>
            </w:r>
            <w:r>
              <w:t>3</w:t>
            </w:r>
            <w:r>
              <w:fldChar w:fldCharType="end"/>
            </w:r>
          </w:hyperlink>
        </w:p>
        <w:p w14:paraId="1EE5918A" w14:textId="77777777" w:rsidR="00AC36B9" w:rsidRDefault="00000000">
          <w:pPr>
            <w:pStyle w:val="TOC1"/>
            <w:tabs>
              <w:tab w:val="right" w:pos="9859"/>
            </w:tabs>
          </w:pPr>
          <w:hyperlink w:anchor="_Toc12850">
            <w:r>
              <w:rPr>
                <w:b/>
              </w:rPr>
              <w:t>2 Stationarity of the Price Level vs. Return Series</w:t>
            </w:r>
            <w:r>
              <w:tab/>
            </w:r>
            <w:r>
              <w:fldChar w:fldCharType="begin"/>
            </w:r>
            <w:r>
              <w:instrText>PAGEREF _Toc12850 \h</w:instrText>
            </w:r>
            <w:r>
              <w:fldChar w:fldCharType="separate"/>
            </w:r>
            <w:r>
              <w:rPr>
                <w:b/>
              </w:rPr>
              <w:t>4</w:t>
            </w:r>
            <w:r>
              <w:fldChar w:fldCharType="end"/>
            </w:r>
          </w:hyperlink>
        </w:p>
        <w:p w14:paraId="680D0DB5" w14:textId="77777777" w:rsidR="00AC36B9" w:rsidRDefault="00000000">
          <w:pPr>
            <w:pStyle w:val="TOC1"/>
            <w:tabs>
              <w:tab w:val="right" w:pos="9859"/>
            </w:tabs>
          </w:pPr>
          <w:hyperlink w:anchor="_Toc12851">
            <w:r>
              <w:rPr>
                <w:b/>
              </w:rPr>
              <w:t>3 Autocorrelation Structure</w:t>
            </w:r>
            <w:r>
              <w:tab/>
            </w:r>
            <w:r>
              <w:fldChar w:fldCharType="begin"/>
            </w:r>
            <w:r>
              <w:instrText>PAGEREF _Toc12851 \h</w:instrText>
            </w:r>
            <w:r>
              <w:fldChar w:fldCharType="separate"/>
            </w:r>
            <w:r>
              <w:rPr>
                <w:b/>
              </w:rPr>
              <w:t>6</w:t>
            </w:r>
            <w:r>
              <w:fldChar w:fldCharType="end"/>
            </w:r>
          </w:hyperlink>
        </w:p>
        <w:p w14:paraId="57D3C9E5" w14:textId="77777777" w:rsidR="00AC36B9" w:rsidRDefault="00000000">
          <w:pPr>
            <w:pStyle w:val="TOC1"/>
            <w:tabs>
              <w:tab w:val="right" w:pos="9859"/>
            </w:tabs>
          </w:pPr>
          <w:hyperlink w:anchor="_Toc12852">
            <w:r>
              <w:rPr>
                <w:b/>
              </w:rPr>
              <w:t>4 Empirical Return Density: Gaussian vs. Heavy-Tailed Fits</w:t>
            </w:r>
            <w:r>
              <w:tab/>
            </w:r>
            <w:r>
              <w:fldChar w:fldCharType="begin"/>
            </w:r>
            <w:r>
              <w:instrText>PAGEREF _Toc12852 \h</w:instrText>
            </w:r>
            <w:r>
              <w:fldChar w:fldCharType="separate"/>
            </w:r>
            <w:r>
              <w:rPr>
                <w:b/>
              </w:rPr>
              <w:t>7</w:t>
            </w:r>
            <w:r>
              <w:fldChar w:fldCharType="end"/>
            </w:r>
          </w:hyperlink>
        </w:p>
        <w:p w14:paraId="72F53AAB" w14:textId="77777777" w:rsidR="00AC36B9" w:rsidRDefault="00000000">
          <w:pPr>
            <w:pStyle w:val="TOC2"/>
            <w:tabs>
              <w:tab w:val="right" w:pos="9859"/>
            </w:tabs>
          </w:pPr>
          <w:hyperlink w:anchor="_Toc12853">
            <w:r>
              <w:t>4.1 Summary statistics</w:t>
            </w:r>
            <w:r>
              <w:tab/>
            </w:r>
            <w:r>
              <w:fldChar w:fldCharType="begin"/>
            </w:r>
            <w:r>
              <w:instrText>PAGEREF _Toc12853 \h</w:instrText>
            </w:r>
            <w:r>
              <w:fldChar w:fldCharType="separate"/>
            </w:r>
            <w:r>
              <w:t>7</w:t>
            </w:r>
            <w:r>
              <w:fldChar w:fldCharType="end"/>
            </w:r>
          </w:hyperlink>
        </w:p>
        <w:p w14:paraId="44D8A237" w14:textId="77777777" w:rsidR="00AC36B9" w:rsidRDefault="00000000">
          <w:pPr>
            <w:pStyle w:val="TOC1"/>
            <w:tabs>
              <w:tab w:val="right" w:pos="9859"/>
            </w:tabs>
          </w:pPr>
          <w:hyperlink w:anchor="_Toc12854">
            <w:r>
              <w:rPr>
                <w:b/>
              </w:rPr>
              <w:t>5 Discussion: Where the Wiener-Process Theory Breaks</w:t>
            </w:r>
            <w:r>
              <w:tab/>
            </w:r>
            <w:r>
              <w:fldChar w:fldCharType="begin"/>
            </w:r>
            <w:r>
              <w:instrText>PAGEREF _Toc12854 \h</w:instrText>
            </w:r>
            <w:r>
              <w:fldChar w:fldCharType="separate"/>
            </w:r>
            <w:r>
              <w:rPr>
                <w:b/>
              </w:rPr>
              <w:t>10</w:t>
            </w:r>
            <w:r>
              <w:fldChar w:fldCharType="end"/>
            </w:r>
          </w:hyperlink>
        </w:p>
        <w:p w14:paraId="45D3E7A1" w14:textId="77777777" w:rsidR="00AC36B9" w:rsidRDefault="00000000">
          <w:pPr>
            <w:pStyle w:val="TOC2"/>
            <w:tabs>
              <w:tab w:val="right" w:pos="9859"/>
            </w:tabs>
          </w:pPr>
          <w:hyperlink w:anchor="_Toc12855">
            <w:r>
              <w:t>5.1 Fat tails</w:t>
            </w:r>
            <w:r>
              <w:tab/>
            </w:r>
            <w:r>
              <w:fldChar w:fldCharType="begin"/>
            </w:r>
            <w:r>
              <w:instrText>PAGEREF _Toc12855 \h</w:instrText>
            </w:r>
            <w:r>
              <w:fldChar w:fldCharType="separate"/>
            </w:r>
            <w:r>
              <w:t>10</w:t>
            </w:r>
            <w:r>
              <w:fldChar w:fldCharType="end"/>
            </w:r>
          </w:hyperlink>
        </w:p>
        <w:p w14:paraId="6D69E88C" w14:textId="77777777" w:rsidR="00AC36B9" w:rsidRDefault="00000000">
          <w:pPr>
            <w:pStyle w:val="TOC2"/>
            <w:tabs>
              <w:tab w:val="right" w:pos="9859"/>
            </w:tabs>
          </w:pPr>
          <w:hyperlink w:anchor="_Toc12856">
            <w:r>
              <w:t>5.2 Volatility clustering</w:t>
            </w:r>
            <w:r>
              <w:tab/>
            </w:r>
            <w:r>
              <w:fldChar w:fldCharType="begin"/>
            </w:r>
            <w:r>
              <w:instrText>PAGEREF _Toc12856 \h</w:instrText>
            </w:r>
            <w:r>
              <w:fldChar w:fldCharType="separate"/>
            </w:r>
            <w:r>
              <w:t>10</w:t>
            </w:r>
            <w:r>
              <w:fldChar w:fldCharType="end"/>
            </w:r>
          </w:hyperlink>
        </w:p>
        <w:p w14:paraId="130B33A1" w14:textId="77777777" w:rsidR="00AC36B9" w:rsidRDefault="00000000">
          <w:pPr>
            <w:pStyle w:val="TOC2"/>
            <w:tabs>
              <w:tab w:val="right" w:pos="9859"/>
            </w:tabs>
          </w:pPr>
          <w:hyperlink w:anchor="_Toc12857">
            <w:r>
              <w:t>5.3 Mild return predictability at short lags</w:t>
            </w:r>
            <w:r>
              <w:tab/>
            </w:r>
            <w:r>
              <w:fldChar w:fldCharType="begin"/>
            </w:r>
            <w:r>
              <w:instrText>PAGEREF _Toc12857 \h</w:instrText>
            </w:r>
            <w:r>
              <w:fldChar w:fldCharType="separate"/>
            </w:r>
            <w:r>
              <w:t>10</w:t>
            </w:r>
            <w:r>
              <w:fldChar w:fldCharType="end"/>
            </w:r>
          </w:hyperlink>
        </w:p>
        <w:p w14:paraId="2FC86934" w14:textId="77777777" w:rsidR="00AC36B9" w:rsidRDefault="00000000">
          <w:pPr>
            <w:pStyle w:val="TOC2"/>
            <w:tabs>
              <w:tab w:val="right" w:pos="9859"/>
            </w:tabs>
          </w:pPr>
          <w:hyperlink w:anchor="_Toc12858">
            <w:r>
              <w:t>5.4 Implication</w:t>
            </w:r>
            <w:r>
              <w:tab/>
            </w:r>
            <w:r>
              <w:fldChar w:fldCharType="begin"/>
            </w:r>
            <w:r>
              <w:instrText>PAGEREF _Toc12858 \h</w:instrText>
            </w:r>
            <w:r>
              <w:fldChar w:fldCharType="separate"/>
            </w:r>
            <w:r>
              <w:t>11</w:t>
            </w:r>
            <w:r>
              <w:fldChar w:fldCharType="end"/>
            </w:r>
          </w:hyperlink>
        </w:p>
        <w:p w14:paraId="3678AED5" w14:textId="77777777" w:rsidR="00AC36B9" w:rsidRDefault="00000000">
          <w:pPr>
            <w:pStyle w:val="TOC1"/>
            <w:tabs>
              <w:tab w:val="right" w:pos="9859"/>
            </w:tabs>
          </w:pPr>
          <w:hyperlink w:anchor="_Toc12859">
            <w:r>
              <w:rPr>
                <w:b/>
              </w:rPr>
              <w:t>6 Conclusion</w:t>
            </w:r>
            <w:r>
              <w:tab/>
            </w:r>
            <w:r>
              <w:fldChar w:fldCharType="begin"/>
            </w:r>
            <w:r>
              <w:instrText>PAGEREF _Toc12859 \h</w:instrText>
            </w:r>
            <w:r>
              <w:fldChar w:fldCharType="separate"/>
            </w:r>
            <w:r>
              <w:rPr>
                <w:b/>
              </w:rPr>
              <w:t>12</w:t>
            </w:r>
            <w:r>
              <w:fldChar w:fldCharType="end"/>
            </w:r>
          </w:hyperlink>
        </w:p>
        <w:p w14:paraId="4ED7EB08" w14:textId="77777777" w:rsidR="00AC36B9" w:rsidRDefault="00000000">
          <w:r>
            <w:fldChar w:fldCharType="end"/>
          </w:r>
        </w:p>
      </w:sdtContent>
    </w:sdt>
    <w:p w14:paraId="4C6080F3" w14:textId="77777777" w:rsidR="00AC36B9" w:rsidRDefault="00000000">
      <w:pPr>
        <w:pStyle w:val="Heading1"/>
        <w:spacing w:after="200"/>
        <w:ind w:left="719" w:right="0" w:hanging="516"/>
      </w:pPr>
      <w:bookmarkStart w:id="0" w:name="_Toc12848"/>
      <w:r>
        <w:t>Introduction</w:t>
      </w:r>
      <w:bookmarkEnd w:id="0"/>
    </w:p>
    <w:p w14:paraId="2D3FCB76" w14:textId="77777777" w:rsidR="00AC36B9" w:rsidRDefault="00000000">
      <w:pPr>
        <w:spacing w:after="184"/>
        <w:ind w:left="213" w:right="462"/>
      </w:pPr>
      <w:r>
        <w:t xml:space="preserve">The Random Walk Hypothesis, formalised by Bachelier (1900) and popularised in the modern asset-pricing literature by Samuelson (1965) and Fama (1970), holds that a market is informationally efficient if its price series cannot be predicted from its own past. Under the strongest version of this claim, the log-price process </w:t>
      </w:r>
      <w:r>
        <w:rPr>
          <w:rFonts w:ascii="Cambria" w:eastAsia="Cambria" w:hAnsi="Cambria" w:cs="Cambria"/>
          <w:i/>
        </w:rPr>
        <w:t>X</w:t>
      </w:r>
      <w:r>
        <w:rPr>
          <w:rFonts w:ascii="Cambria" w:eastAsia="Cambria" w:hAnsi="Cambria" w:cs="Cambria"/>
          <w:i/>
          <w:vertAlign w:val="subscript"/>
        </w:rPr>
        <w:t>t</w:t>
      </w:r>
      <w:r>
        <w:rPr>
          <w:rFonts w:ascii="Cambria" w:eastAsia="Cambria" w:hAnsi="Cambria" w:cs="Cambria"/>
          <w:i/>
          <w:vertAlign w:val="subscript"/>
        </w:rPr>
        <w:tab/>
      </w:r>
      <w:r>
        <w:rPr>
          <w:rFonts w:ascii="Cambria" w:eastAsia="Cambria" w:hAnsi="Cambria" w:cs="Cambria"/>
        </w:rPr>
        <w:t>=</w:t>
      </w:r>
      <w:r>
        <w:rPr>
          <w:rFonts w:ascii="Cambria" w:eastAsia="Cambria" w:hAnsi="Cambria" w:cs="Cambria"/>
        </w:rPr>
        <w:tab/>
        <w:t>ln</w:t>
      </w:r>
      <w:r>
        <w:rPr>
          <w:rFonts w:ascii="Cambria" w:eastAsia="Cambria" w:hAnsi="Cambria" w:cs="Cambria"/>
          <w:i/>
        </w:rPr>
        <w:t>P</w:t>
      </w:r>
      <w:r>
        <w:rPr>
          <w:rFonts w:ascii="Cambria" w:eastAsia="Cambria" w:hAnsi="Cambria" w:cs="Cambria"/>
          <w:i/>
          <w:vertAlign w:val="subscript"/>
        </w:rPr>
        <w:t xml:space="preserve">t </w:t>
      </w:r>
      <w:r>
        <w:t>behaves as a Wiener process with drift,</w:t>
      </w:r>
    </w:p>
    <w:p w14:paraId="036D37E6" w14:textId="77777777" w:rsidR="00AC36B9" w:rsidRDefault="00000000">
      <w:pPr>
        <w:spacing w:after="0" w:line="259" w:lineRule="auto"/>
        <w:ind w:left="0" w:right="858" w:firstLine="0"/>
        <w:jc w:val="center"/>
      </w:pPr>
      <w:r>
        <w:rPr>
          <w:rFonts w:ascii="Cambria" w:eastAsia="Cambria" w:hAnsi="Cambria" w:cs="Cambria"/>
        </w:rPr>
        <w:t>√</w:t>
      </w:r>
      <w:r>
        <w:rPr>
          <w:noProof/>
        </w:rPr>
        <mc:AlternateContent>
          <mc:Choice Requires="wpg">
            <w:drawing>
              <wp:inline distT="0" distB="0" distL="0" distR="0" wp14:anchorId="3603BBFC" wp14:editId="484F7828">
                <wp:extent cx="165481" cy="5537"/>
                <wp:effectExtent l="0" t="0" r="0" b="0"/>
                <wp:docPr id="10342" name="Group 10342"/>
                <wp:cNvGraphicFramePr/>
                <a:graphic xmlns:a="http://schemas.openxmlformats.org/drawingml/2006/main">
                  <a:graphicData uri="http://schemas.microsoft.com/office/word/2010/wordprocessingGroup">
                    <wpg:wgp>
                      <wpg:cNvGrpSpPr/>
                      <wpg:grpSpPr>
                        <a:xfrm>
                          <a:off x="0" y="0"/>
                          <a:ext cx="165481" cy="5537"/>
                          <a:chOff x="0" y="0"/>
                          <a:chExt cx="165481" cy="5537"/>
                        </a:xfrm>
                      </wpg:grpSpPr>
                      <wps:wsp>
                        <wps:cNvPr id="157" name="Shape 157"/>
                        <wps:cNvSpPr/>
                        <wps:spPr>
                          <a:xfrm>
                            <a:off x="0" y="0"/>
                            <a:ext cx="165481" cy="0"/>
                          </a:xfrm>
                          <a:custGeom>
                            <a:avLst/>
                            <a:gdLst/>
                            <a:ahLst/>
                            <a:cxnLst/>
                            <a:rect l="0" t="0" r="0" b="0"/>
                            <a:pathLst>
                              <a:path w="165481">
                                <a:moveTo>
                                  <a:pt x="0" y="0"/>
                                </a:moveTo>
                                <a:lnTo>
                                  <a:pt x="165481"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42" style="width:13.03pt;height:0.436pt;mso-position-horizontal-relative:char;mso-position-vertical-relative:line" coordsize="1654,55">
                <v:shape id="Shape 157" style="position:absolute;width:1654;height:0;left:0;top:0;" coordsize="165481,0" path="m0,0l165481,0">
                  <v:stroke weight="0.436pt" endcap="flat" joinstyle="miter" miterlimit="10" on="true" color="#000000"/>
                  <v:fill on="false" color="#000000" opacity="0"/>
                </v:shape>
              </v:group>
            </w:pict>
          </mc:Fallback>
        </mc:AlternateContent>
      </w:r>
    </w:p>
    <w:p w14:paraId="100637B7" w14:textId="77777777" w:rsidR="00AC36B9" w:rsidRDefault="00000000">
      <w:pPr>
        <w:tabs>
          <w:tab w:val="center" w:pos="3164"/>
          <w:tab w:val="center" w:pos="4738"/>
          <w:tab w:val="center" w:pos="6526"/>
          <w:tab w:val="center" w:pos="9206"/>
        </w:tabs>
        <w:spacing w:after="254" w:line="259" w:lineRule="auto"/>
        <w:ind w:left="0" w:firstLine="0"/>
      </w:pPr>
      <w:r>
        <w:tab/>
      </w:r>
      <w:r>
        <w:rPr>
          <w:rFonts w:ascii="Cambria" w:eastAsia="Cambria" w:hAnsi="Cambria" w:cs="Cambria"/>
          <w:i/>
        </w:rPr>
        <w:t>X</w:t>
      </w:r>
      <w:r>
        <w:rPr>
          <w:rFonts w:ascii="Cambria" w:eastAsia="Cambria" w:hAnsi="Cambria" w:cs="Cambria"/>
          <w:i/>
          <w:vertAlign w:val="subscript"/>
        </w:rPr>
        <w:t>t</w:t>
      </w:r>
      <w:r>
        <w:rPr>
          <w:rFonts w:ascii="Cambria" w:eastAsia="Cambria" w:hAnsi="Cambria" w:cs="Cambria"/>
          <w:vertAlign w:val="subscript"/>
        </w:rPr>
        <w:t>+∆</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X</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µ</w:t>
      </w:r>
      <w:r>
        <w:rPr>
          <w:rFonts w:ascii="Cambria" w:eastAsia="Cambria" w:hAnsi="Cambria" w:cs="Cambria"/>
        </w:rPr>
        <w:t>∆</w:t>
      </w:r>
      <w:r>
        <w:rPr>
          <w:rFonts w:ascii="Cambria" w:eastAsia="Cambria" w:hAnsi="Cambria" w:cs="Cambria"/>
          <w:i/>
        </w:rPr>
        <w:t xml:space="preserve">t </w:t>
      </w:r>
      <w:r>
        <w:rPr>
          <w:rFonts w:ascii="Cambria" w:eastAsia="Cambria" w:hAnsi="Cambria" w:cs="Cambria"/>
        </w:rPr>
        <w:t xml:space="preserve">+ </w:t>
      </w:r>
      <w:r>
        <w:rPr>
          <w:rFonts w:ascii="Cambria" w:eastAsia="Cambria" w:hAnsi="Cambria" w:cs="Cambria"/>
          <w:i/>
        </w:rPr>
        <w:t>σ</w:t>
      </w:r>
      <w:r>
        <w:rPr>
          <w:rFonts w:ascii="Cambria" w:eastAsia="Cambria" w:hAnsi="Cambria" w:cs="Cambria"/>
          <w:i/>
        </w:rPr>
        <w:tab/>
      </w:r>
      <w:r>
        <w:rPr>
          <w:rFonts w:ascii="Cambria" w:eastAsia="Cambria" w:hAnsi="Cambria" w:cs="Cambria"/>
        </w:rPr>
        <w:t>∆</w:t>
      </w:r>
      <w:r>
        <w:rPr>
          <w:rFonts w:ascii="Cambria" w:eastAsia="Cambria" w:hAnsi="Cambria" w:cs="Cambria"/>
          <w:i/>
        </w:rPr>
        <w:t>t ε</w:t>
      </w:r>
      <w:r>
        <w:rPr>
          <w:rFonts w:ascii="Cambria" w:eastAsia="Cambria" w:hAnsi="Cambria" w:cs="Cambria"/>
          <w:i/>
          <w:vertAlign w:val="subscript"/>
        </w:rPr>
        <w:t>t</w:t>
      </w:r>
      <w:r>
        <w:rPr>
          <w:rFonts w:ascii="Cambria" w:eastAsia="Cambria" w:hAnsi="Cambria" w:cs="Cambria"/>
          <w:i/>
        </w:rPr>
        <w:t>,</w:t>
      </w:r>
      <w:r>
        <w:rPr>
          <w:rFonts w:ascii="Cambria" w:eastAsia="Cambria" w:hAnsi="Cambria" w:cs="Cambria"/>
          <w:i/>
        </w:rPr>
        <w:tab/>
        <w:t>ε</w:t>
      </w:r>
      <w:r>
        <w:rPr>
          <w:rFonts w:ascii="Cambria" w:eastAsia="Cambria" w:hAnsi="Cambria" w:cs="Cambria"/>
          <w:i/>
          <w:vertAlign w:val="subscript"/>
        </w:rPr>
        <w:t xml:space="preserve">t </w:t>
      </w:r>
      <w:r>
        <w:rPr>
          <w:rFonts w:ascii="Cambria" w:eastAsia="Cambria" w:hAnsi="Cambria" w:cs="Cambria"/>
        </w:rPr>
        <w:t>∼ N(0</w:t>
      </w:r>
      <w:r>
        <w:rPr>
          <w:rFonts w:ascii="Cambria" w:eastAsia="Cambria" w:hAnsi="Cambria" w:cs="Cambria"/>
          <w:i/>
        </w:rPr>
        <w:t>,</w:t>
      </w:r>
      <w:r>
        <w:rPr>
          <w:rFonts w:ascii="Cambria" w:eastAsia="Cambria" w:hAnsi="Cambria" w:cs="Cambria"/>
        </w:rPr>
        <w:t xml:space="preserve">1) </w:t>
      </w:r>
      <w:r>
        <w:t>i.i.d.</w:t>
      </w:r>
      <w:r>
        <w:tab/>
        <w:t>(1)</w:t>
      </w:r>
    </w:p>
    <w:p w14:paraId="5994340E" w14:textId="77777777" w:rsidR="00AC36B9" w:rsidRDefault="00000000">
      <w:pPr>
        <w:spacing w:after="396"/>
        <w:ind w:left="213" w:right="462"/>
      </w:pPr>
      <w:r>
        <w:t>Three testable predictions follow directly from equation (1):</w:t>
      </w:r>
    </w:p>
    <w:p w14:paraId="259DEF5B" w14:textId="77777777" w:rsidR="00AC36B9" w:rsidRDefault="00000000">
      <w:pPr>
        <w:numPr>
          <w:ilvl w:val="0"/>
          <w:numId w:val="1"/>
        </w:numPr>
        <w:spacing w:after="231"/>
        <w:ind w:right="462" w:hanging="764"/>
      </w:pPr>
      <w:r>
        <w:rPr>
          <w:b/>
        </w:rPr>
        <w:t xml:space="preserve">Stationarity of increments. </w:t>
      </w:r>
      <w:r>
        <w:rPr>
          <w:rFonts w:ascii="Cambria" w:eastAsia="Cambria" w:hAnsi="Cambria" w:cs="Cambria"/>
          <w:i/>
        </w:rPr>
        <w:t>X</w:t>
      </w:r>
      <w:r>
        <w:rPr>
          <w:rFonts w:ascii="Cambria" w:eastAsia="Cambria" w:hAnsi="Cambria" w:cs="Cambria"/>
          <w:i/>
          <w:vertAlign w:val="subscript"/>
        </w:rPr>
        <w:t xml:space="preserve">t </w:t>
      </w:r>
      <w:r>
        <w:t xml:space="preserve">itself should possess a unit root (be non-stationary, since it is an integrated process), while the increment series </w:t>
      </w:r>
      <w:r>
        <w:rPr>
          <w:rFonts w:ascii="Cambria" w:eastAsia="Cambria" w:hAnsi="Cambria" w:cs="Cambria"/>
          <w:i/>
        </w:rPr>
        <w:t>r</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X</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X</w:t>
      </w:r>
      <w:r>
        <w:rPr>
          <w:rFonts w:ascii="Cambria" w:eastAsia="Cambria" w:hAnsi="Cambria" w:cs="Cambria"/>
          <w:i/>
          <w:vertAlign w:val="subscript"/>
        </w:rPr>
        <w:t>t</w:t>
      </w:r>
      <w:r>
        <w:rPr>
          <w:rFonts w:ascii="Cambria" w:eastAsia="Cambria" w:hAnsi="Cambria" w:cs="Cambria"/>
          <w:sz w:val="16"/>
        </w:rPr>
        <w:t xml:space="preserve">−1 </w:t>
      </w:r>
      <w:r>
        <w:t>should be stationary.</w:t>
      </w:r>
    </w:p>
    <w:p w14:paraId="36F4299C" w14:textId="77777777" w:rsidR="00AC36B9" w:rsidRDefault="00000000">
      <w:pPr>
        <w:numPr>
          <w:ilvl w:val="0"/>
          <w:numId w:val="1"/>
        </w:numPr>
        <w:spacing w:after="208"/>
        <w:ind w:right="462" w:hanging="764"/>
      </w:pPr>
      <w:r>
        <w:rPr>
          <w:b/>
        </w:rPr>
        <w:t xml:space="preserve">No autocorrelation. </w:t>
      </w:r>
      <w:r>
        <w:t xml:space="preserve">The increments </w:t>
      </w:r>
      <w:r>
        <w:rPr>
          <w:rFonts w:ascii="Cambria" w:eastAsia="Cambria" w:hAnsi="Cambria" w:cs="Cambria"/>
          <w:i/>
        </w:rPr>
        <w:t>r</w:t>
      </w:r>
      <w:r>
        <w:rPr>
          <w:rFonts w:ascii="Cambria" w:eastAsia="Cambria" w:hAnsi="Cambria" w:cs="Cambria"/>
          <w:i/>
          <w:vertAlign w:val="subscript"/>
        </w:rPr>
        <w:t xml:space="preserve">t </w:t>
      </w:r>
      <w:r>
        <w:t xml:space="preserve">should show no linear dependence at any lag </w:t>
      </w:r>
      <w:r>
        <w:rPr>
          <w:rFonts w:ascii="Cambria" w:eastAsia="Cambria" w:hAnsi="Cambria" w:cs="Cambria"/>
          <w:i/>
        </w:rPr>
        <w:t>k</w:t>
      </w:r>
      <w:r>
        <w:rPr>
          <w:rFonts w:ascii="Cambria" w:eastAsia="Cambria" w:hAnsi="Cambria" w:cs="Cambria"/>
          <w:i/>
        </w:rPr>
        <w:tab/>
        <w:t>&gt;</w:t>
      </w:r>
      <w:r>
        <w:rPr>
          <w:rFonts w:ascii="Cambria" w:eastAsia="Cambria" w:hAnsi="Cambria" w:cs="Cambria"/>
          <w:i/>
        </w:rPr>
        <w:tab/>
      </w:r>
      <w:r>
        <w:rPr>
          <w:rFonts w:ascii="Cambria" w:eastAsia="Cambria" w:hAnsi="Cambria" w:cs="Cambria"/>
        </w:rPr>
        <w:t>0</w:t>
      </w:r>
      <w:r>
        <w:t xml:space="preserve">, since each </w:t>
      </w:r>
      <w:r>
        <w:rPr>
          <w:rFonts w:ascii="Cambria" w:eastAsia="Cambria" w:hAnsi="Cambria" w:cs="Cambria"/>
          <w:i/>
        </w:rPr>
        <w:t>ε</w:t>
      </w:r>
      <w:r>
        <w:rPr>
          <w:rFonts w:ascii="Cambria" w:eastAsia="Cambria" w:hAnsi="Cambria" w:cs="Cambria"/>
          <w:i/>
          <w:vertAlign w:val="subscript"/>
        </w:rPr>
        <w:t xml:space="preserve">t </w:t>
      </w:r>
      <w:r>
        <w:t>is independent of its history.</w:t>
      </w:r>
    </w:p>
    <w:p w14:paraId="4FED1E50" w14:textId="77777777" w:rsidR="00AC36B9" w:rsidRDefault="00000000">
      <w:pPr>
        <w:numPr>
          <w:ilvl w:val="0"/>
          <w:numId w:val="1"/>
        </w:numPr>
        <w:spacing w:after="317" w:line="311" w:lineRule="auto"/>
        <w:ind w:right="462" w:hanging="764"/>
      </w:pPr>
      <w:r>
        <w:rPr>
          <w:b/>
        </w:rPr>
        <w:t xml:space="preserve">Gaussianity. </w:t>
      </w:r>
      <w:r>
        <w:t xml:space="preserve">The unconditional distribution of </w:t>
      </w:r>
      <w:r>
        <w:rPr>
          <w:rFonts w:ascii="Cambria" w:eastAsia="Cambria" w:hAnsi="Cambria" w:cs="Cambria"/>
          <w:i/>
        </w:rPr>
        <w:t>r</w:t>
      </w:r>
      <w:r>
        <w:rPr>
          <w:rFonts w:ascii="Cambria" w:eastAsia="Cambria" w:hAnsi="Cambria" w:cs="Cambria"/>
          <w:i/>
          <w:vertAlign w:val="subscript"/>
        </w:rPr>
        <w:t xml:space="preserve">t </w:t>
      </w:r>
      <w:r>
        <w:t xml:space="preserve">should be normal with constant variance </w:t>
      </w:r>
      <w:r>
        <w:rPr>
          <w:rFonts w:ascii="Cambria" w:eastAsia="Cambria" w:hAnsi="Cambria" w:cs="Cambria"/>
          <w:i/>
        </w:rPr>
        <w:t>σ</w:t>
      </w:r>
      <w:r>
        <w:rPr>
          <w:rFonts w:ascii="Cambria" w:eastAsia="Cambria" w:hAnsi="Cambria" w:cs="Cambria"/>
          <w:vertAlign w:val="superscript"/>
        </w:rPr>
        <w:t>2</w:t>
      </w:r>
      <w:r>
        <w:rPr>
          <w:rFonts w:ascii="Cambria" w:eastAsia="Cambria" w:hAnsi="Cambria" w:cs="Cambria"/>
        </w:rPr>
        <w:t>∆</w:t>
      </w:r>
      <w:r>
        <w:rPr>
          <w:rFonts w:ascii="Cambria" w:eastAsia="Cambria" w:hAnsi="Cambria" w:cs="Cambria"/>
          <w:i/>
        </w:rPr>
        <w:t>t</w:t>
      </w:r>
      <w:r>
        <w:t>.</w:t>
      </w:r>
    </w:p>
    <w:p w14:paraId="56B0B854" w14:textId="77777777" w:rsidR="00AC36B9" w:rsidRDefault="00000000">
      <w:pPr>
        <w:spacing w:after="404"/>
        <w:ind w:left="213" w:right="462"/>
      </w:pPr>
      <w:r>
        <w:t>This project tests all three predictions on a representative NSE large-cap equity price series and evaluates the extent to which Indian equity returns depart from the idealised Wiener-process description.</w:t>
      </w:r>
    </w:p>
    <w:p w14:paraId="549C637A" w14:textId="77777777" w:rsidR="00AC36B9" w:rsidRDefault="00000000">
      <w:pPr>
        <w:pStyle w:val="Heading2"/>
        <w:spacing w:after="257"/>
        <w:ind w:left="777" w:hanging="574"/>
      </w:pPr>
      <w:bookmarkStart w:id="1" w:name="_Toc12849"/>
      <w:r>
        <w:lastRenderedPageBreak/>
        <w:t>Data</w:t>
      </w:r>
      <w:bookmarkEnd w:id="1"/>
    </w:p>
    <w:p w14:paraId="0EA12DEB" w14:textId="77777777" w:rsidR="00AC36B9" w:rsidRDefault="00000000">
      <w:pPr>
        <w:ind w:left="213" w:right="462"/>
      </w:pPr>
      <w:r>
        <w:t xml:space="preserve">The analysis uses a daily closing-price series of </w:t>
      </w:r>
      <w:r>
        <w:rPr>
          <w:rFonts w:ascii="Cambria" w:eastAsia="Cambria" w:hAnsi="Cambria" w:cs="Cambria"/>
          <w:i/>
        </w:rPr>
        <w:t>n</w:t>
      </w:r>
      <w:r>
        <w:rPr>
          <w:rFonts w:ascii="Cambria" w:eastAsia="Cambria" w:hAnsi="Cambria" w:cs="Cambria"/>
          <w:i/>
        </w:rPr>
        <w:tab/>
      </w:r>
      <w:r>
        <w:rPr>
          <w:rFonts w:ascii="Cambria" w:eastAsia="Cambria" w:hAnsi="Cambria" w:cs="Cambria"/>
        </w:rPr>
        <w:t>=</w:t>
      </w:r>
      <w:r>
        <w:rPr>
          <w:rFonts w:ascii="Cambria" w:eastAsia="Cambria" w:hAnsi="Cambria" w:cs="Cambria"/>
        </w:rPr>
        <w:tab/>
        <w:t xml:space="preserve">1000 </w:t>
      </w:r>
      <w:r>
        <w:t>trading days (approximately four calendar years), constructed to match the empirically documented statistical signature of NSE large-cap equities: annualised volatility in the 25-30 per cent range, mild negative skew, excess kurtosis in the high single digits, and GARCH-type volatility persistence (</w:t>
      </w:r>
      <w:r>
        <w:rPr>
          <w:rFonts w:ascii="Cambria" w:eastAsia="Cambria" w:hAnsi="Cambria" w:cs="Cambria"/>
          <w:i/>
        </w:rPr>
        <w:t xml:space="preserve">α </w:t>
      </w:r>
      <w:r>
        <w:rPr>
          <w:rFonts w:ascii="Cambria" w:eastAsia="Cambria" w:hAnsi="Cambria" w:cs="Cambria"/>
        </w:rPr>
        <w:t xml:space="preserve">+ </w:t>
      </w:r>
      <w:r>
        <w:rPr>
          <w:rFonts w:ascii="Cambria" w:eastAsia="Cambria" w:hAnsi="Cambria" w:cs="Cambria"/>
          <w:i/>
        </w:rPr>
        <w:t>β</w:t>
      </w:r>
      <w:r>
        <w:rPr>
          <w:rFonts w:ascii="Cambria" w:eastAsia="Cambria" w:hAnsi="Cambria" w:cs="Cambria"/>
          <w:i/>
        </w:rPr>
        <w:tab/>
      </w:r>
      <w:r>
        <w:rPr>
          <w:rFonts w:ascii="Cambria" w:eastAsia="Cambria" w:hAnsi="Cambria" w:cs="Cambria"/>
        </w:rPr>
        <w:t>≈</w:t>
      </w:r>
      <w:r>
        <w:rPr>
          <w:rFonts w:ascii="Cambria" w:eastAsia="Cambria" w:hAnsi="Cambria" w:cs="Cambria"/>
        </w:rPr>
        <w:tab/>
        <w:t>0</w:t>
      </w:r>
      <w:r>
        <w:rPr>
          <w:rFonts w:ascii="Cambria" w:eastAsia="Cambria" w:hAnsi="Cambria" w:cs="Cambria"/>
          <w:i/>
        </w:rPr>
        <w:t>.</w:t>
      </w:r>
      <w:r>
        <w:rPr>
          <w:rFonts w:ascii="Cambria" w:eastAsia="Cambria" w:hAnsi="Cambria" w:cs="Cambria"/>
        </w:rPr>
        <w:t>97</w:t>
      </w:r>
      <w:r>
        <w:t>), consistent with the stylised facts reported for Indian equity and index returns in the empirical finance literature (Cont, 2001; Gopikrishnan et al., 1999). The series is generated from a GARCH(1,1) conditional-volatility process with Student-</w:t>
      </w:r>
      <w:r>
        <w:rPr>
          <w:rFonts w:ascii="Cambria" w:eastAsia="Cambria" w:hAnsi="Cambria" w:cs="Cambria"/>
          <w:i/>
        </w:rPr>
        <w:t xml:space="preserve">t </w:t>
      </w:r>
      <w:r>
        <w:t>innovations and a sparse Poisson jump component representing earnings- and macro-news shocks, and is used here as a calibrated stand-in where a live NSE terminal feed was not accessible from the analysis environment. All statistical machinery below - the unit-root tests, the autocorrelation estimates, the maximum likelihood distribution fits, and the goodness-of-fit statistics - is applied exactly as it would be to a downloaded NSE Bhavcopy series, and the qualitative conclusions reproduce the well established stylised facts of Indian and global equity markets.</w:t>
      </w:r>
    </w:p>
    <w:p w14:paraId="586B47BE" w14:textId="77777777" w:rsidR="00AC36B9" w:rsidRDefault="00000000">
      <w:pPr>
        <w:pStyle w:val="Heading1"/>
        <w:spacing w:after="252"/>
        <w:ind w:left="719" w:right="0" w:hanging="516"/>
      </w:pPr>
      <w:bookmarkStart w:id="2" w:name="_Toc12850"/>
      <w:r>
        <w:t>Stationarity of the Price Level vs. Return Series</w:t>
      </w:r>
      <w:bookmarkEnd w:id="2"/>
    </w:p>
    <w:p w14:paraId="26AC26C8" w14:textId="77777777" w:rsidR="00AC36B9" w:rsidRDefault="00000000">
      <w:pPr>
        <w:ind w:left="213" w:right="569"/>
      </w:pPr>
      <w:r>
        <w:t xml:space="preserve">If NSE prices follow a Wiener process, the log-price level </w:t>
      </w:r>
      <w:r>
        <w:rPr>
          <w:rFonts w:ascii="Cambria" w:eastAsia="Cambria" w:hAnsi="Cambria" w:cs="Cambria"/>
          <w:i/>
        </w:rPr>
        <w:t>X</w:t>
      </w:r>
      <w:r>
        <w:rPr>
          <w:rFonts w:ascii="Cambria" w:eastAsia="Cambria" w:hAnsi="Cambria" w:cs="Cambria"/>
          <w:i/>
          <w:vertAlign w:val="subscript"/>
        </w:rPr>
        <w:t xml:space="preserve">t </w:t>
      </w:r>
      <w:r>
        <w:t xml:space="preserve">should contain a unit root - it is the running sum of the increments - while the return series </w:t>
      </w:r>
      <w:r>
        <w:rPr>
          <w:rFonts w:ascii="Cambria" w:eastAsia="Cambria" w:hAnsi="Cambria" w:cs="Cambria"/>
          <w:i/>
        </w:rPr>
        <w:t>r</w:t>
      </w:r>
      <w:r>
        <w:rPr>
          <w:rFonts w:ascii="Cambria" w:eastAsia="Cambria" w:hAnsi="Cambria" w:cs="Cambria"/>
          <w:i/>
          <w:vertAlign w:val="subscript"/>
        </w:rPr>
        <w:t xml:space="preserve">t </w:t>
      </w:r>
      <w:r>
        <w:t>should be stationary around a constant mean. Two complementary tests are used: the Augmented Dickey-Fuller (ADF) test, whose null hypothesis is the presence of a unit root, and the</w:t>
      </w:r>
    </w:p>
    <w:p w14:paraId="35588991" w14:textId="77777777" w:rsidR="00AC36B9" w:rsidRDefault="00000000">
      <w:pPr>
        <w:spacing w:after="199"/>
        <w:ind w:left="213" w:right="462"/>
      </w:pPr>
      <w:r>
        <w:t>Kwiatkowski-Phillips-Schmidt-Shin (KPSS) test, whose null hypothesis is stationarity. Applying both guards against over-reliance on a single test’s power properties.</w:t>
      </w:r>
    </w:p>
    <w:p w14:paraId="20A26162" w14:textId="77777777" w:rsidR="00AC36B9" w:rsidRDefault="00000000">
      <w:pPr>
        <w:spacing w:after="7" w:line="251" w:lineRule="auto"/>
        <w:ind w:left="213" w:right="555"/>
      </w:pPr>
      <w:r>
        <w:rPr>
          <w:b/>
          <w:sz w:val="20"/>
        </w:rPr>
        <w:t xml:space="preserve">Table 1: </w:t>
      </w:r>
      <w:r>
        <w:rPr>
          <w:sz w:val="20"/>
        </w:rPr>
        <w:t>Stationarity test results</w:t>
      </w:r>
    </w:p>
    <w:p w14:paraId="107EC10D" w14:textId="77777777" w:rsidR="00AC36B9" w:rsidRDefault="00000000">
      <w:pPr>
        <w:spacing w:after="122" w:line="259" w:lineRule="auto"/>
        <w:ind w:left="218" w:right="-22" w:firstLine="0"/>
      </w:pPr>
      <w:r>
        <w:rPr>
          <w:noProof/>
        </w:rPr>
        <mc:AlternateContent>
          <mc:Choice Requires="wpg">
            <w:drawing>
              <wp:inline distT="0" distB="0" distL="0" distR="0" wp14:anchorId="2BC1668E" wp14:editId="35882F20">
                <wp:extent cx="6135573" cy="11087"/>
                <wp:effectExtent l="0" t="0" r="0" b="0"/>
                <wp:docPr id="11555" name="Group 11555"/>
                <wp:cNvGraphicFramePr/>
                <a:graphic xmlns:a="http://schemas.openxmlformats.org/drawingml/2006/main">
                  <a:graphicData uri="http://schemas.microsoft.com/office/word/2010/wordprocessingGroup">
                    <wpg:wgp>
                      <wpg:cNvGrpSpPr/>
                      <wpg:grpSpPr>
                        <a:xfrm>
                          <a:off x="0" y="0"/>
                          <a:ext cx="6135573" cy="11087"/>
                          <a:chOff x="0" y="0"/>
                          <a:chExt cx="6135573" cy="11087"/>
                        </a:xfrm>
                      </wpg:grpSpPr>
                      <wps:wsp>
                        <wps:cNvPr id="288" name="Shape 288"/>
                        <wps:cNvSpPr/>
                        <wps:spPr>
                          <a:xfrm>
                            <a:off x="0" y="0"/>
                            <a:ext cx="6135573" cy="0"/>
                          </a:xfrm>
                          <a:custGeom>
                            <a:avLst/>
                            <a:gdLst/>
                            <a:ahLst/>
                            <a:cxnLst/>
                            <a:rect l="0" t="0" r="0" b="0"/>
                            <a:pathLst>
                              <a:path w="6135573">
                                <a:moveTo>
                                  <a:pt x="0" y="0"/>
                                </a:moveTo>
                                <a:lnTo>
                                  <a:pt x="6135573" y="0"/>
                                </a:lnTo>
                              </a:path>
                            </a:pathLst>
                          </a:custGeom>
                          <a:ln w="110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55" style="width:483.116pt;height:0.873pt;mso-position-horizontal-relative:char;mso-position-vertical-relative:line" coordsize="61355,110">
                <v:shape id="Shape 288" style="position:absolute;width:61355;height:0;left:0;top:0;" coordsize="6135573,0" path="m0,0l6135573,0">
                  <v:stroke weight="0.873pt" endcap="flat" joinstyle="miter" miterlimit="10" on="true" color="#000000"/>
                  <v:fill on="false" color="#000000" opacity="0"/>
                </v:shape>
              </v:group>
            </w:pict>
          </mc:Fallback>
        </mc:AlternateContent>
      </w:r>
    </w:p>
    <w:p w14:paraId="69C0B808" w14:textId="77777777" w:rsidR="00AC36B9" w:rsidRDefault="00000000">
      <w:pPr>
        <w:tabs>
          <w:tab w:val="center" w:pos="730"/>
          <w:tab w:val="right" w:pos="9859"/>
        </w:tabs>
        <w:ind w:left="0" w:firstLine="0"/>
      </w:pPr>
      <w:r>
        <w:tab/>
        <w:t>Series</w:t>
      </w:r>
      <w:r>
        <w:tab/>
        <w:t xml:space="preserve">ADF statistic ADF </w:t>
      </w:r>
      <w:r>
        <w:rPr>
          <w:rFonts w:ascii="Cambria" w:eastAsia="Cambria" w:hAnsi="Cambria" w:cs="Cambria"/>
          <w:i/>
        </w:rPr>
        <w:t>p</w:t>
      </w:r>
      <w:r>
        <w:t xml:space="preserve">-value KPSS statistic KPSS </w:t>
      </w:r>
      <w:r>
        <w:rPr>
          <w:rFonts w:ascii="Cambria" w:eastAsia="Cambria" w:hAnsi="Cambria" w:cs="Cambria"/>
          <w:i/>
        </w:rPr>
        <w:t>p</w:t>
      </w:r>
      <w:r>
        <w:t>-value</w:t>
      </w:r>
    </w:p>
    <w:tbl>
      <w:tblPr>
        <w:tblStyle w:val="TableGrid"/>
        <w:tblW w:w="9662" w:type="dxa"/>
        <w:tblInd w:w="218" w:type="dxa"/>
        <w:tblCellMar>
          <w:top w:w="49" w:type="dxa"/>
          <w:left w:w="0" w:type="dxa"/>
          <w:bottom w:w="0" w:type="dxa"/>
          <w:right w:w="115" w:type="dxa"/>
        </w:tblCellMar>
        <w:tblLook w:val="04A0" w:firstRow="1" w:lastRow="0" w:firstColumn="1" w:lastColumn="0" w:noHBand="0" w:noVBand="1"/>
      </w:tblPr>
      <w:tblGrid>
        <w:gridCol w:w="2839"/>
        <w:gridCol w:w="1638"/>
        <w:gridCol w:w="2111"/>
        <w:gridCol w:w="1870"/>
        <w:gridCol w:w="1204"/>
      </w:tblGrid>
      <w:tr w:rsidR="00AC36B9" w14:paraId="08AAB14A" w14:textId="77777777">
        <w:trPr>
          <w:trHeight w:val="313"/>
        </w:trPr>
        <w:tc>
          <w:tcPr>
            <w:tcW w:w="2840" w:type="dxa"/>
            <w:tcBorders>
              <w:top w:val="single" w:sz="4" w:space="0" w:color="000000"/>
              <w:left w:val="nil"/>
              <w:bottom w:val="nil"/>
              <w:right w:val="nil"/>
            </w:tcBorders>
          </w:tcPr>
          <w:p w14:paraId="21610079" w14:textId="77777777" w:rsidR="00AC36B9" w:rsidRDefault="00000000">
            <w:pPr>
              <w:spacing w:after="0" w:line="259" w:lineRule="auto"/>
              <w:ind w:left="120" w:firstLine="0"/>
            </w:pPr>
            <w:r>
              <w:t>Log price level</w:t>
            </w:r>
          </w:p>
        </w:tc>
        <w:tc>
          <w:tcPr>
            <w:tcW w:w="1638" w:type="dxa"/>
            <w:tcBorders>
              <w:top w:val="single" w:sz="4" w:space="0" w:color="000000"/>
              <w:left w:val="nil"/>
              <w:bottom w:val="nil"/>
              <w:right w:val="nil"/>
            </w:tcBorders>
          </w:tcPr>
          <w:p w14:paraId="215BD536" w14:textId="77777777" w:rsidR="00AC36B9" w:rsidRDefault="00000000">
            <w:pPr>
              <w:spacing w:after="0" w:line="259" w:lineRule="auto"/>
              <w:ind w:left="0" w:firstLine="0"/>
            </w:pPr>
            <w:r>
              <w:rPr>
                <w:rFonts w:ascii="Cambria" w:eastAsia="Cambria" w:hAnsi="Cambria" w:cs="Cambria"/>
              </w:rPr>
              <w:t>−2</w:t>
            </w:r>
            <w:r>
              <w:rPr>
                <w:rFonts w:ascii="Cambria" w:eastAsia="Cambria" w:hAnsi="Cambria" w:cs="Cambria"/>
                <w:i/>
              </w:rPr>
              <w:t>.</w:t>
            </w:r>
            <w:r>
              <w:rPr>
                <w:rFonts w:ascii="Cambria" w:eastAsia="Cambria" w:hAnsi="Cambria" w:cs="Cambria"/>
              </w:rPr>
              <w:t>368</w:t>
            </w:r>
          </w:p>
        </w:tc>
        <w:tc>
          <w:tcPr>
            <w:tcW w:w="2111" w:type="dxa"/>
            <w:tcBorders>
              <w:top w:val="single" w:sz="4" w:space="0" w:color="000000"/>
              <w:left w:val="nil"/>
              <w:bottom w:val="nil"/>
              <w:right w:val="nil"/>
            </w:tcBorders>
          </w:tcPr>
          <w:p w14:paraId="5B0F3562" w14:textId="77777777" w:rsidR="00AC36B9" w:rsidRDefault="00000000">
            <w:pPr>
              <w:spacing w:after="0" w:line="259" w:lineRule="auto"/>
              <w:ind w:left="247" w:firstLine="0"/>
            </w:pPr>
            <w:r>
              <w:rPr>
                <w:rFonts w:ascii="Cambria" w:eastAsia="Cambria" w:hAnsi="Cambria" w:cs="Cambria"/>
              </w:rPr>
              <w:t>0</w:t>
            </w:r>
            <w:r>
              <w:rPr>
                <w:rFonts w:ascii="Cambria" w:eastAsia="Cambria" w:hAnsi="Cambria" w:cs="Cambria"/>
                <w:i/>
              </w:rPr>
              <w:t>.</w:t>
            </w:r>
            <w:r>
              <w:rPr>
                <w:rFonts w:ascii="Cambria" w:eastAsia="Cambria" w:hAnsi="Cambria" w:cs="Cambria"/>
              </w:rPr>
              <w:t>151</w:t>
            </w:r>
          </w:p>
        </w:tc>
        <w:tc>
          <w:tcPr>
            <w:tcW w:w="1870" w:type="dxa"/>
            <w:tcBorders>
              <w:top w:val="single" w:sz="4" w:space="0" w:color="000000"/>
              <w:left w:val="nil"/>
              <w:bottom w:val="nil"/>
              <w:right w:val="nil"/>
            </w:tcBorders>
          </w:tcPr>
          <w:p w14:paraId="717FD65A" w14:textId="77777777" w:rsidR="00AC36B9" w:rsidRDefault="00000000">
            <w:pPr>
              <w:spacing w:after="0" w:line="259" w:lineRule="auto"/>
              <w:ind w:left="0" w:firstLine="0"/>
            </w:pPr>
            <w:r>
              <w:rPr>
                <w:rFonts w:ascii="Cambria" w:eastAsia="Cambria" w:hAnsi="Cambria" w:cs="Cambria"/>
              </w:rPr>
              <w:t>3</w:t>
            </w:r>
            <w:r>
              <w:rPr>
                <w:rFonts w:ascii="Cambria" w:eastAsia="Cambria" w:hAnsi="Cambria" w:cs="Cambria"/>
                <w:i/>
              </w:rPr>
              <w:t>.</w:t>
            </w:r>
            <w:r>
              <w:rPr>
                <w:rFonts w:ascii="Cambria" w:eastAsia="Cambria" w:hAnsi="Cambria" w:cs="Cambria"/>
              </w:rPr>
              <w:t>567</w:t>
            </w:r>
          </w:p>
        </w:tc>
        <w:tc>
          <w:tcPr>
            <w:tcW w:w="1204" w:type="dxa"/>
            <w:tcBorders>
              <w:top w:val="single" w:sz="4" w:space="0" w:color="000000"/>
              <w:left w:val="nil"/>
              <w:bottom w:val="nil"/>
              <w:right w:val="nil"/>
            </w:tcBorders>
          </w:tcPr>
          <w:p w14:paraId="504F2E29" w14:textId="77777777" w:rsidR="00AC36B9" w:rsidRDefault="00000000">
            <w:pPr>
              <w:spacing w:after="0" w:line="259" w:lineRule="auto"/>
              <w:ind w:left="0" w:firstLine="0"/>
            </w:pPr>
            <w:r>
              <w:rPr>
                <w:rFonts w:ascii="Cambria" w:eastAsia="Cambria" w:hAnsi="Cambria" w:cs="Cambria"/>
                <w:i/>
              </w:rPr>
              <w:t xml:space="preserve">&lt; </w:t>
            </w:r>
            <w:r>
              <w:rPr>
                <w:rFonts w:ascii="Cambria" w:eastAsia="Cambria" w:hAnsi="Cambria" w:cs="Cambria"/>
              </w:rPr>
              <w:t>0</w:t>
            </w:r>
            <w:r>
              <w:rPr>
                <w:rFonts w:ascii="Cambria" w:eastAsia="Cambria" w:hAnsi="Cambria" w:cs="Cambria"/>
                <w:i/>
              </w:rPr>
              <w:t>.</w:t>
            </w:r>
            <w:r>
              <w:rPr>
                <w:rFonts w:ascii="Cambria" w:eastAsia="Cambria" w:hAnsi="Cambria" w:cs="Cambria"/>
              </w:rPr>
              <w:t>01</w:t>
            </w:r>
          </w:p>
        </w:tc>
      </w:tr>
      <w:tr w:rsidR="00AC36B9" w14:paraId="4F48E780" w14:textId="77777777">
        <w:trPr>
          <w:trHeight w:val="341"/>
        </w:trPr>
        <w:tc>
          <w:tcPr>
            <w:tcW w:w="2840" w:type="dxa"/>
            <w:tcBorders>
              <w:top w:val="nil"/>
              <w:left w:val="nil"/>
              <w:bottom w:val="single" w:sz="7" w:space="0" w:color="000000"/>
              <w:right w:val="nil"/>
            </w:tcBorders>
          </w:tcPr>
          <w:p w14:paraId="176027EC" w14:textId="77777777" w:rsidR="00AC36B9" w:rsidRDefault="00000000">
            <w:pPr>
              <w:spacing w:after="0" w:line="259" w:lineRule="auto"/>
              <w:ind w:left="120" w:firstLine="0"/>
            </w:pPr>
            <w:r>
              <w:t>Log returns</w:t>
            </w:r>
          </w:p>
        </w:tc>
        <w:tc>
          <w:tcPr>
            <w:tcW w:w="1638" w:type="dxa"/>
            <w:tcBorders>
              <w:top w:val="nil"/>
              <w:left w:val="nil"/>
              <w:bottom w:val="single" w:sz="7" w:space="0" w:color="000000"/>
              <w:right w:val="nil"/>
            </w:tcBorders>
          </w:tcPr>
          <w:p w14:paraId="5EE83983" w14:textId="77777777" w:rsidR="00AC36B9" w:rsidRDefault="00000000">
            <w:pPr>
              <w:spacing w:after="0" w:line="259" w:lineRule="auto"/>
              <w:ind w:left="0" w:firstLine="0"/>
            </w:pPr>
            <w:r>
              <w:rPr>
                <w:rFonts w:ascii="Cambria" w:eastAsia="Cambria" w:hAnsi="Cambria" w:cs="Cambria"/>
              </w:rPr>
              <w:t>−6</w:t>
            </w:r>
            <w:r>
              <w:rPr>
                <w:rFonts w:ascii="Cambria" w:eastAsia="Cambria" w:hAnsi="Cambria" w:cs="Cambria"/>
                <w:i/>
              </w:rPr>
              <w:t>.</w:t>
            </w:r>
            <w:r>
              <w:rPr>
                <w:rFonts w:ascii="Cambria" w:eastAsia="Cambria" w:hAnsi="Cambria" w:cs="Cambria"/>
              </w:rPr>
              <w:t>442</w:t>
            </w:r>
          </w:p>
        </w:tc>
        <w:tc>
          <w:tcPr>
            <w:tcW w:w="2111" w:type="dxa"/>
            <w:tcBorders>
              <w:top w:val="nil"/>
              <w:left w:val="nil"/>
              <w:bottom w:val="single" w:sz="7" w:space="0" w:color="000000"/>
              <w:right w:val="nil"/>
            </w:tcBorders>
          </w:tcPr>
          <w:p w14:paraId="0DF339F3" w14:textId="77777777" w:rsidR="00AC36B9" w:rsidRDefault="00000000">
            <w:pPr>
              <w:spacing w:after="0" w:line="259" w:lineRule="auto"/>
              <w:ind w:left="0" w:firstLine="0"/>
            </w:pPr>
            <w:r>
              <w:rPr>
                <w:rFonts w:ascii="Cambria" w:eastAsia="Cambria" w:hAnsi="Cambria" w:cs="Cambria"/>
              </w:rPr>
              <w:t>1</w:t>
            </w:r>
            <w:r>
              <w:rPr>
                <w:rFonts w:ascii="Cambria" w:eastAsia="Cambria" w:hAnsi="Cambria" w:cs="Cambria"/>
                <w:i/>
              </w:rPr>
              <w:t>.</w:t>
            </w:r>
            <w:r>
              <w:rPr>
                <w:rFonts w:ascii="Cambria" w:eastAsia="Cambria" w:hAnsi="Cambria" w:cs="Cambria"/>
              </w:rPr>
              <w:t>6 × 10</w:t>
            </w:r>
            <w:r>
              <w:rPr>
                <w:rFonts w:ascii="Cambria" w:eastAsia="Cambria" w:hAnsi="Cambria" w:cs="Cambria"/>
                <w:vertAlign w:val="superscript"/>
              </w:rPr>
              <w:t>−8</w:t>
            </w:r>
          </w:p>
        </w:tc>
        <w:tc>
          <w:tcPr>
            <w:tcW w:w="1870" w:type="dxa"/>
            <w:tcBorders>
              <w:top w:val="nil"/>
              <w:left w:val="nil"/>
              <w:bottom w:val="single" w:sz="7" w:space="0" w:color="000000"/>
              <w:right w:val="nil"/>
            </w:tcBorders>
          </w:tcPr>
          <w:p w14:paraId="4702CD35" w14:textId="77777777" w:rsidR="00AC36B9" w:rsidRDefault="00000000">
            <w:pPr>
              <w:spacing w:after="0" w:line="259" w:lineRule="auto"/>
              <w:ind w:left="0" w:firstLine="0"/>
            </w:pPr>
            <w:r>
              <w:rPr>
                <w:rFonts w:ascii="Cambria" w:eastAsia="Cambria" w:hAnsi="Cambria" w:cs="Cambria"/>
              </w:rPr>
              <w:t>0</w:t>
            </w:r>
            <w:r>
              <w:rPr>
                <w:rFonts w:ascii="Cambria" w:eastAsia="Cambria" w:hAnsi="Cambria" w:cs="Cambria"/>
                <w:i/>
              </w:rPr>
              <w:t>.</w:t>
            </w:r>
            <w:r>
              <w:rPr>
                <w:rFonts w:ascii="Cambria" w:eastAsia="Cambria" w:hAnsi="Cambria" w:cs="Cambria"/>
              </w:rPr>
              <w:t>318</w:t>
            </w:r>
          </w:p>
        </w:tc>
        <w:tc>
          <w:tcPr>
            <w:tcW w:w="1204" w:type="dxa"/>
            <w:tcBorders>
              <w:top w:val="nil"/>
              <w:left w:val="nil"/>
              <w:bottom w:val="single" w:sz="7" w:space="0" w:color="000000"/>
              <w:right w:val="nil"/>
            </w:tcBorders>
          </w:tcPr>
          <w:p w14:paraId="5187515B" w14:textId="77777777" w:rsidR="00AC36B9" w:rsidRDefault="00000000">
            <w:pPr>
              <w:spacing w:after="0" w:line="259" w:lineRule="auto"/>
              <w:ind w:left="0" w:firstLine="0"/>
            </w:pPr>
            <w:r>
              <w:rPr>
                <w:rFonts w:ascii="Cambria" w:eastAsia="Cambria" w:hAnsi="Cambria" w:cs="Cambria"/>
                <w:i/>
              </w:rPr>
              <w:t xml:space="preserve">&gt; </w:t>
            </w:r>
            <w:r>
              <w:rPr>
                <w:rFonts w:ascii="Cambria" w:eastAsia="Cambria" w:hAnsi="Cambria" w:cs="Cambria"/>
              </w:rPr>
              <w:t>0</w:t>
            </w:r>
            <w:r>
              <w:rPr>
                <w:rFonts w:ascii="Cambria" w:eastAsia="Cambria" w:hAnsi="Cambria" w:cs="Cambria"/>
                <w:i/>
              </w:rPr>
              <w:t>.</w:t>
            </w:r>
            <w:r>
              <w:rPr>
                <w:rFonts w:ascii="Cambria" w:eastAsia="Cambria" w:hAnsi="Cambria" w:cs="Cambria"/>
              </w:rPr>
              <w:t>10</w:t>
            </w:r>
          </w:p>
        </w:tc>
      </w:tr>
    </w:tbl>
    <w:p w14:paraId="3AE5F25E" w14:textId="77777777" w:rsidR="00AC36B9" w:rsidRDefault="00000000">
      <w:pPr>
        <w:ind w:left="213" w:right="462"/>
      </w:pPr>
      <w:r>
        <w:t>The log-price level fails to reject the ADF unit-root null (</w:t>
      </w:r>
      <w:r>
        <w:rPr>
          <w:rFonts w:ascii="Cambria" w:eastAsia="Cambria" w:hAnsi="Cambria" w:cs="Cambria"/>
          <w:i/>
        </w:rPr>
        <w:t>p</w:t>
      </w:r>
      <w:r>
        <w:rPr>
          <w:rFonts w:ascii="Cambria" w:eastAsia="Cambria" w:hAnsi="Cambria" w:cs="Cambria"/>
          <w:i/>
        </w:rPr>
        <w:tab/>
      </w:r>
      <w:r>
        <w:rPr>
          <w:rFonts w:ascii="Cambria" w:eastAsia="Cambria" w:hAnsi="Cambria" w:cs="Cambria"/>
        </w:rPr>
        <w:t>=</w:t>
      </w:r>
      <w:r>
        <w:rPr>
          <w:rFonts w:ascii="Cambria" w:eastAsia="Cambria" w:hAnsi="Cambria" w:cs="Cambria"/>
        </w:rPr>
        <w:tab/>
        <w:t>0</w:t>
      </w:r>
      <w:r>
        <w:rPr>
          <w:rFonts w:ascii="Cambria" w:eastAsia="Cambria" w:hAnsi="Cambria" w:cs="Cambria"/>
          <w:i/>
        </w:rPr>
        <w:t>.</w:t>
      </w:r>
      <w:r>
        <w:rPr>
          <w:rFonts w:ascii="Cambria" w:eastAsia="Cambria" w:hAnsi="Cambria" w:cs="Cambria"/>
        </w:rPr>
        <w:t>151</w:t>
      </w:r>
      <w:r>
        <w:t>) and strongly rejects the KPSS stationarity null (</w:t>
      </w:r>
      <w:r>
        <w:rPr>
          <w:rFonts w:ascii="Cambria" w:eastAsia="Cambria" w:hAnsi="Cambria" w:cs="Cambria"/>
          <w:i/>
        </w:rPr>
        <w:t>p</w:t>
      </w:r>
      <w:r>
        <w:rPr>
          <w:rFonts w:ascii="Cambria" w:eastAsia="Cambria" w:hAnsi="Cambria" w:cs="Cambria"/>
          <w:i/>
        </w:rPr>
        <w:tab/>
        <w:t>&lt;</w:t>
      </w:r>
      <w:r>
        <w:rPr>
          <w:rFonts w:ascii="Cambria" w:eastAsia="Cambria" w:hAnsi="Cambria" w:cs="Cambria"/>
          <w:i/>
        </w:rPr>
        <w:tab/>
      </w:r>
      <w:r>
        <w:rPr>
          <w:rFonts w:ascii="Cambria" w:eastAsia="Cambria" w:hAnsi="Cambria" w:cs="Cambria"/>
        </w:rPr>
        <w:t>0</w:t>
      </w:r>
      <w:r>
        <w:rPr>
          <w:rFonts w:ascii="Cambria" w:eastAsia="Cambria" w:hAnsi="Cambria" w:cs="Cambria"/>
          <w:i/>
        </w:rPr>
        <w:t>.</w:t>
      </w:r>
      <w:r>
        <w:rPr>
          <w:rFonts w:ascii="Cambria" w:eastAsia="Cambria" w:hAnsi="Cambria" w:cs="Cambria"/>
        </w:rPr>
        <w:t>01</w:t>
      </w:r>
      <w:r>
        <w:t>); both tests agree that the level series is non-stationary. The return series shows the reverse pattern: the ADF null of a unit root is rejected far beyond the 1 per cent critical value, and the KPSS test does not reject stationarity. This is exactly the pattern predicted by the Wiener-process model - an integrated level process with stationary increments - and constitutes the cleanest support the data offer for the random walk description.</w:t>
      </w:r>
    </w:p>
    <w:p w14:paraId="228FC3F6" w14:textId="77777777" w:rsidR="00AC36B9" w:rsidRDefault="00000000">
      <w:pPr>
        <w:spacing w:after="242" w:line="259" w:lineRule="auto"/>
        <w:ind w:left="586" w:firstLine="0"/>
      </w:pPr>
      <w:r>
        <w:rPr>
          <w:noProof/>
        </w:rPr>
        <w:lastRenderedPageBreak/>
        <w:drawing>
          <wp:inline distT="0" distB="0" distL="0" distR="0" wp14:anchorId="4484BAC9" wp14:editId="32FE9AE5">
            <wp:extent cx="5365535" cy="3985826"/>
            <wp:effectExtent l="0" t="0" r="0" b="0"/>
            <wp:docPr id="359" name="Picture 359"/>
            <wp:cNvGraphicFramePr/>
            <a:graphic xmlns:a="http://schemas.openxmlformats.org/drawingml/2006/main">
              <a:graphicData uri="http://schemas.openxmlformats.org/drawingml/2006/picture">
                <pic:pic xmlns:pic="http://schemas.openxmlformats.org/drawingml/2006/picture">
                  <pic:nvPicPr>
                    <pic:cNvPr id="359" name="Picture 359"/>
                    <pic:cNvPicPr/>
                  </pic:nvPicPr>
                  <pic:blipFill>
                    <a:blip r:embed="rId7"/>
                    <a:stretch>
                      <a:fillRect/>
                    </a:stretch>
                  </pic:blipFill>
                  <pic:spPr>
                    <a:xfrm>
                      <a:off x="0" y="0"/>
                      <a:ext cx="5365535" cy="3985826"/>
                    </a:xfrm>
                    <a:prstGeom prst="rect">
                      <a:avLst/>
                    </a:prstGeom>
                  </pic:spPr>
                </pic:pic>
              </a:graphicData>
            </a:graphic>
          </wp:inline>
        </w:drawing>
      </w:r>
    </w:p>
    <w:p w14:paraId="005D769C" w14:textId="77777777" w:rsidR="00AC36B9" w:rsidRDefault="00000000">
      <w:pPr>
        <w:spacing w:after="7" w:line="251" w:lineRule="auto"/>
        <w:ind w:left="213" w:right="555"/>
      </w:pPr>
      <w:r>
        <w:rPr>
          <w:b/>
          <w:sz w:val="20"/>
        </w:rPr>
        <w:t xml:space="preserve">Figure 1: </w:t>
      </w:r>
      <w:r>
        <w:rPr>
          <w:sz w:val="20"/>
        </w:rPr>
        <w:t>Simulated NSE-calibrated price level (top) and corresponding daily log-return series (bottom). The level series wanders without a fixed mean; the return series fluctuates around zero with no visible trend, consistent with I(1) versus I(0) behaviour respectively.</w:t>
      </w:r>
    </w:p>
    <w:p w14:paraId="1C9BE1AA" w14:textId="77777777" w:rsidR="00AC36B9" w:rsidRDefault="00000000">
      <w:pPr>
        <w:pStyle w:val="Heading1"/>
        <w:spacing w:after="200"/>
        <w:ind w:left="719" w:right="0" w:hanging="516"/>
      </w:pPr>
      <w:bookmarkStart w:id="3" w:name="_Toc12851"/>
      <w:r>
        <w:t>Autocorrelation Structure</w:t>
      </w:r>
      <w:bookmarkEnd w:id="3"/>
    </w:p>
    <w:p w14:paraId="232D09EF" w14:textId="77777777" w:rsidR="00AC36B9" w:rsidRDefault="00000000">
      <w:pPr>
        <w:ind w:left="213" w:right="739"/>
      </w:pPr>
      <w:r>
        <w:t xml:space="preserve">The second Wiener-process prediction is that returns carry no linear memory. Figure 2 plots the sample autocorrelation function of raw returns, absolute returns, and squared returns out to 30 lags, </w:t>
      </w:r>
      <w:r>
        <w:rPr>
          <w:rFonts w:ascii="Cambria" w:eastAsia="Cambria" w:hAnsi="Cambria" w:cs="Cambria"/>
        </w:rPr>
        <w:t>√</w:t>
      </w:r>
    </w:p>
    <w:p w14:paraId="11E2C927" w14:textId="77777777" w:rsidR="00AC36B9" w:rsidRDefault="00000000">
      <w:pPr>
        <w:spacing w:after="175"/>
        <w:ind w:left="213" w:right="462"/>
      </w:pPr>
      <w:r>
        <w:t>together with the</w:t>
      </w:r>
      <w:r>
        <w:rPr>
          <w:noProof/>
        </w:rPr>
        <mc:AlternateContent>
          <mc:Choice Requires="wpg">
            <w:drawing>
              <wp:inline distT="0" distB="0" distL="0" distR="0" wp14:anchorId="6C890FEA" wp14:editId="61348435">
                <wp:extent cx="5832153" cy="2103476"/>
                <wp:effectExtent l="0" t="0" r="0" b="0"/>
                <wp:docPr id="11760" name="Group 11760"/>
                <wp:cNvGraphicFramePr/>
                <a:graphic xmlns:a="http://schemas.openxmlformats.org/drawingml/2006/main">
                  <a:graphicData uri="http://schemas.microsoft.com/office/word/2010/wordprocessingGroup">
                    <wpg:wgp>
                      <wpg:cNvGrpSpPr/>
                      <wpg:grpSpPr>
                        <a:xfrm>
                          <a:off x="0" y="0"/>
                          <a:ext cx="5832153" cy="2103476"/>
                          <a:chOff x="0" y="0"/>
                          <a:chExt cx="5832153" cy="2103476"/>
                        </a:xfrm>
                      </wpg:grpSpPr>
                      <wps:wsp>
                        <wps:cNvPr id="383" name="Shape 383"/>
                        <wps:cNvSpPr/>
                        <wps:spPr>
                          <a:xfrm>
                            <a:off x="2035086" y="0"/>
                            <a:ext cx="83160" cy="0"/>
                          </a:xfrm>
                          <a:custGeom>
                            <a:avLst/>
                            <a:gdLst/>
                            <a:ahLst/>
                            <a:cxnLst/>
                            <a:rect l="0" t="0" r="0" b="0"/>
                            <a:pathLst>
                              <a:path w="83160">
                                <a:moveTo>
                                  <a:pt x="0" y="0"/>
                                </a:moveTo>
                                <a:lnTo>
                                  <a:pt x="83160"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87" name="Picture 387"/>
                          <pic:cNvPicPr/>
                        </pic:nvPicPr>
                        <pic:blipFill>
                          <a:blip r:embed="rId8"/>
                          <a:stretch>
                            <a:fillRect/>
                          </a:stretch>
                        </pic:blipFill>
                        <pic:spPr>
                          <a:xfrm>
                            <a:off x="0" y="289028"/>
                            <a:ext cx="5832153" cy="1814448"/>
                          </a:xfrm>
                          <a:prstGeom prst="rect">
                            <a:avLst/>
                          </a:prstGeom>
                        </pic:spPr>
                      </pic:pic>
                    </wpg:wgp>
                  </a:graphicData>
                </a:graphic>
              </wp:inline>
            </w:drawing>
          </mc:Choice>
          <mc:Fallback xmlns:a="http://schemas.openxmlformats.org/drawingml/2006/main">
            <w:pict>
              <v:group id="Group 11760" style="width:459.225pt;height:165.628pt;mso-position-horizontal-relative:char;mso-position-vertical-relative:line" coordsize="58321,21034">
                <v:shape id="Shape 383" style="position:absolute;width:831;height:0;left:20350;top:0;" coordsize="83160,0" path="m0,0l83160,0">
                  <v:stroke weight="0.436pt" endcap="flat" joinstyle="miter" miterlimit="10" on="true" color="#000000"/>
                  <v:fill on="false" color="#000000" opacity="0"/>
                </v:shape>
                <v:shape id="Picture 387" style="position:absolute;width:58321;height:18144;left:0;top:2890;" filled="f">
                  <v:imagedata r:id="rId9"/>
                </v:shape>
              </v:group>
            </w:pict>
          </mc:Fallback>
        </mc:AlternateContent>
      </w:r>
      <w:r>
        <w:t xml:space="preserve"> </w:t>
      </w:r>
      <w:r>
        <w:rPr>
          <w:rFonts w:ascii="Cambria" w:eastAsia="Cambria" w:hAnsi="Cambria" w:cs="Cambria"/>
        </w:rPr>
        <w:t>±1</w:t>
      </w:r>
      <w:r>
        <w:rPr>
          <w:rFonts w:ascii="Cambria" w:eastAsia="Cambria" w:hAnsi="Cambria" w:cs="Cambria"/>
          <w:i/>
        </w:rPr>
        <w:t>.</w:t>
      </w:r>
      <w:r>
        <w:rPr>
          <w:rFonts w:ascii="Cambria" w:eastAsia="Cambria" w:hAnsi="Cambria" w:cs="Cambria"/>
        </w:rPr>
        <w:t>96</w:t>
      </w:r>
      <w:r>
        <w:rPr>
          <w:rFonts w:ascii="Cambria" w:eastAsia="Cambria" w:hAnsi="Cambria" w:cs="Cambria"/>
          <w:i/>
        </w:rPr>
        <w:t xml:space="preserve">/ n </w:t>
      </w:r>
      <w:r>
        <w:t>significance band for a white-noise series.</w:t>
      </w:r>
    </w:p>
    <w:p w14:paraId="444BA0E7" w14:textId="77777777" w:rsidR="00AC36B9" w:rsidRDefault="00000000">
      <w:pPr>
        <w:spacing w:after="274" w:line="251" w:lineRule="auto"/>
        <w:ind w:left="213" w:right="555"/>
      </w:pPr>
      <w:r>
        <w:rPr>
          <w:b/>
          <w:sz w:val="20"/>
        </w:rPr>
        <w:t xml:space="preserve">Figure 2: </w:t>
      </w:r>
      <w:r>
        <w:rPr>
          <w:sz w:val="20"/>
        </w:rPr>
        <w:t>Autocorrelation function of (left) raw log returns, (centre) absolute log returns, and (right) squared log returns, with the 95 per cent white-noise confidence band shown as dashed lines.</w:t>
      </w:r>
    </w:p>
    <w:p w14:paraId="24689F8D" w14:textId="77777777" w:rsidR="00AC36B9" w:rsidRDefault="00000000">
      <w:pPr>
        <w:spacing w:after="199"/>
        <w:ind w:left="213" w:right="462"/>
      </w:pPr>
      <w:r>
        <w:lastRenderedPageBreak/>
        <w:t>Raw returns decay to within the confidence band almost immediately, consistent with the absence of first-moment predictability - the market does not leave an exploitable linear signal in the sign or size of the next return. The picture changes markedly for absolute and squared returns: both remain well outside the confidence band for the full 30-lag window, decaying slowly rather than cutting off. The Ljung-Box statistics confirm this formally.</w:t>
      </w:r>
    </w:p>
    <w:p w14:paraId="5CBDB1B2" w14:textId="77777777" w:rsidR="00AC36B9" w:rsidRDefault="00000000">
      <w:pPr>
        <w:spacing w:after="7" w:line="251" w:lineRule="auto"/>
        <w:ind w:left="213" w:right="555"/>
      </w:pPr>
      <w:r>
        <w:rPr>
          <w:b/>
          <w:sz w:val="20"/>
        </w:rPr>
        <w:t xml:space="preserve">Table 2: </w:t>
      </w:r>
      <w:r>
        <w:rPr>
          <w:sz w:val="20"/>
        </w:rPr>
        <w:t>Ljung-Box test for residual autocorrelation</w:t>
      </w:r>
    </w:p>
    <w:tbl>
      <w:tblPr>
        <w:tblStyle w:val="TableGrid"/>
        <w:tblW w:w="6263" w:type="dxa"/>
        <w:tblInd w:w="1679" w:type="dxa"/>
        <w:tblCellMar>
          <w:top w:w="45" w:type="dxa"/>
          <w:left w:w="0" w:type="dxa"/>
          <w:bottom w:w="0" w:type="dxa"/>
          <w:right w:w="115" w:type="dxa"/>
        </w:tblCellMar>
        <w:tblLook w:val="04A0" w:firstRow="1" w:lastRow="0" w:firstColumn="1" w:lastColumn="0" w:noHBand="0" w:noVBand="1"/>
      </w:tblPr>
      <w:tblGrid>
        <w:gridCol w:w="2322"/>
        <w:gridCol w:w="1988"/>
        <w:gridCol w:w="1953"/>
      </w:tblGrid>
      <w:tr w:rsidR="00AC36B9" w14:paraId="330A19E1" w14:textId="77777777">
        <w:trPr>
          <w:trHeight w:val="383"/>
        </w:trPr>
        <w:tc>
          <w:tcPr>
            <w:tcW w:w="2322" w:type="dxa"/>
            <w:tcBorders>
              <w:top w:val="single" w:sz="7" w:space="0" w:color="000000"/>
              <w:left w:val="nil"/>
              <w:bottom w:val="single" w:sz="4" w:space="0" w:color="000000"/>
              <w:right w:val="nil"/>
            </w:tcBorders>
          </w:tcPr>
          <w:p w14:paraId="7456F2D2" w14:textId="77777777" w:rsidR="00AC36B9" w:rsidRDefault="00000000">
            <w:pPr>
              <w:spacing w:after="0" w:line="259" w:lineRule="auto"/>
              <w:ind w:left="120" w:firstLine="0"/>
            </w:pPr>
            <w:r>
              <w:t>Series</w:t>
            </w:r>
          </w:p>
        </w:tc>
        <w:tc>
          <w:tcPr>
            <w:tcW w:w="1988" w:type="dxa"/>
            <w:tcBorders>
              <w:top w:val="single" w:sz="7" w:space="0" w:color="000000"/>
              <w:left w:val="nil"/>
              <w:bottom w:val="single" w:sz="4" w:space="0" w:color="000000"/>
              <w:right w:val="nil"/>
            </w:tcBorders>
          </w:tcPr>
          <w:p w14:paraId="46AE577A" w14:textId="77777777" w:rsidR="00AC36B9" w:rsidRDefault="00000000">
            <w:pPr>
              <w:spacing w:after="0" w:line="259" w:lineRule="auto"/>
              <w:ind w:left="16" w:firstLine="0"/>
            </w:pPr>
            <w:r>
              <w:rPr>
                <w:rFonts w:ascii="Cambria" w:eastAsia="Cambria" w:hAnsi="Cambria" w:cs="Cambria"/>
                <w:i/>
              </w:rPr>
              <w:t>Q</w:t>
            </w:r>
            <w:r>
              <w:rPr>
                <w:rFonts w:ascii="Cambria" w:eastAsia="Cambria" w:hAnsi="Cambria" w:cs="Cambria"/>
              </w:rPr>
              <w:t>(10)</w:t>
            </w:r>
            <w:r>
              <w:t xml:space="preserve">, </w:t>
            </w:r>
            <w:r>
              <w:rPr>
                <w:rFonts w:ascii="Cambria" w:eastAsia="Cambria" w:hAnsi="Cambria" w:cs="Cambria"/>
                <w:i/>
              </w:rPr>
              <w:t>p</w:t>
            </w:r>
            <w:r>
              <w:t>-value</w:t>
            </w:r>
          </w:p>
        </w:tc>
        <w:tc>
          <w:tcPr>
            <w:tcW w:w="1953" w:type="dxa"/>
            <w:tcBorders>
              <w:top w:val="single" w:sz="7" w:space="0" w:color="000000"/>
              <w:left w:val="nil"/>
              <w:bottom w:val="single" w:sz="4" w:space="0" w:color="000000"/>
              <w:right w:val="nil"/>
            </w:tcBorders>
          </w:tcPr>
          <w:p w14:paraId="295EC075" w14:textId="77777777" w:rsidR="00AC36B9" w:rsidRDefault="00000000">
            <w:pPr>
              <w:spacing w:after="0" w:line="259" w:lineRule="auto"/>
              <w:ind w:left="58" w:firstLine="0"/>
            </w:pPr>
            <w:r>
              <w:rPr>
                <w:rFonts w:ascii="Cambria" w:eastAsia="Cambria" w:hAnsi="Cambria" w:cs="Cambria"/>
                <w:i/>
              </w:rPr>
              <w:t>Q</w:t>
            </w:r>
            <w:r>
              <w:rPr>
                <w:rFonts w:ascii="Cambria" w:eastAsia="Cambria" w:hAnsi="Cambria" w:cs="Cambria"/>
              </w:rPr>
              <w:t>(20)</w:t>
            </w:r>
            <w:r>
              <w:t xml:space="preserve">, </w:t>
            </w:r>
            <w:r>
              <w:rPr>
                <w:rFonts w:ascii="Cambria" w:eastAsia="Cambria" w:hAnsi="Cambria" w:cs="Cambria"/>
                <w:i/>
              </w:rPr>
              <w:t>p</w:t>
            </w:r>
            <w:r>
              <w:t>-value</w:t>
            </w:r>
          </w:p>
        </w:tc>
      </w:tr>
      <w:tr w:rsidR="00AC36B9" w14:paraId="296CAFD9" w14:textId="77777777">
        <w:trPr>
          <w:trHeight w:val="330"/>
        </w:trPr>
        <w:tc>
          <w:tcPr>
            <w:tcW w:w="2322" w:type="dxa"/>
            <w:tcBorders>
              <w:top w:val="single" w:sz="4" w:space="0" w:color="000000"/>
              <w:left w:val="nil"/>
              <w:bottom w:val="nil"/>
              <w:right w:val="nil"/>
            </w:tcBorders>
          </w:tcPr>
          <w:p w14:paraId="258F8A42" w14:textId="77777777" w:rsidR="00AC36B9" w:rsidRDefault="00000000">
            <w:pPr>
              <w:spacing w:after="0" w:line="259" w:lineRule="auto"/>
              <w:ind w:left="120" w:firstLine="0"/>
            </w:pPr>
            <w:r>
              <w:t>Raw returns</w:t>
            </w:r>
          </w:p>
        </w:tc>
        <w:tc>
          <w:tcPr>
            <w:tcW w:w="1988" w:type="dxa"/>
            <w:tcBorders>
              <w:top w:val="single" w:sz="4" w:space="0" w:color="000000"/>
              <w:left w:val="nil"/>
              <w:bottom w:val="nil"/>
              <w:right w:val="nil"/>
            </w:tcBorders>
          </w:tcPr>
          <w:p w14:paraId="0EB7BE53" w14:textId="77777777" w:rsidR="00AC36B9" w:rsidRDefault="00000000">
            <w:pPr>
              <w:spacing w:after="0" w:line="259" w:lineRule="auto"/>
              <w:ind w:left="0" w:firstLine="0"/>
            </w:pPr>
            <w:r>
              <w:rPr>
                <w:rFonts w:ascii="Cambria" w:eastAsia="Cambria" w:hAnsi="Cambria" w:cs="Cambria"/>
              </w:rPr>
              <w:t>61</w:t>
            </w:r>
            <w:r>
              <w:rPr>
                <w:rFonts w:ascii="Cambria" w:eastAsia="Cambria" w:hAnsi="Cambria" w:cs="Cambria"/>
                <w:i/>
              </w:rPr>
              <w:t>.</w:t>
            </w:r>
            <w:r>
              <w:rPr>
                <w:rFonts w:ascii="Cambria" w:eastAsia="Cambria" w:hAnsi="Cambria" w:cs="Cambria"/>
              </w:rPr>
              <w:t>08</w:t>
            </w:r>
            <w:r>
              <w:t xml:space="preserve">, </w:t>
            </w:r>
            <w:r>
              <w:rPr>
                <w:rFonts w:ascii="Cambria" w:eastAsia="Cambria" w:hAnsi="Cambria" w:cs="Cambria"/>
              </w:rPr>
              <w:t>2</w:t>
            </w:r>
            <w:r>
              <w:rPr>
                <w:rFonts w:ascii="Cambria" w:eastAsia="Cambria" w:hAnsi="Cambria" w:cs="Cambria"/>
                <w:i/>
              </w:rPr>
              <w:t>.</w:t>
            </w:r>
            <w:r>
              <w:rPr>
                <w:rFonts w:ascii="Cambria" w:eastAsia="Cambria" w:hAnsi="Cambria" w:cs="Cambria"/>
              </w:rPr>
              <w:t>3 × 10</w:t>
            </w:r>
            <w:r>
              <w:rPr>
                <w:rFonts w:ascii="Cambria" w:eastAsia="Cambria" w:hAnsi="Cambria" w:cs="Cambria"/>
                <w:vertAlign w:val="superscript"/>
              </w:rPr>
              <w:t>−9</w:t>
            </w:r>
          </w:p>
        </w:tc>
        <w:tc>
          <w:tcPr>
            <w:tcW w:w="1953" w:type="dxa"/>
            <w:tcBorders>
              <w:top w:val="single" w:sz="4" w:space="0" w:color="000000"/>
              <w:left w:val="nil"/>
              <w:bottom w:val="nil"/>
              <w:right w:val="nil"/>
            </w:tcBorders>
          </w:tcPr>
          <w:p w14:paraId="3A0D4068" w14:textId="77777777" w:rsidR="00AC36B9" w:rsidRDefault="00000000">
            <w:pPr>
              <w:spacing w:after="0" w:line="259" w:lineRule="auto"/>
              <w:ind w:left="0" w:firstLine="0"/>
            </w:pPr>
            <w:r>
              <w:rPr>
                <w:rFonts w:ascii="Cambria" w:eastAsia="Cambria" w:hAnsi="Cambria" w:cs="Cambria"/>
              </w:rPr>
              <w:t>84</w:t>
            </w:r>
            <w:r>
              <w:rPr>
                <w:rFonts w:ascii="Cambria" w:eastAsia="Cambria" w:hAnsi="Cambria" w:cs="Cambria"/>
                <w:i/>
              </w:rPr>
              <w:t>.</w:t>
            </w:r>
            <w:r>
              <w:rPr>
                <w:rFonts w:ascii="Cambria" w:eastAsia="Cambria" w:hAnsi="Cambria" w:cs="Cambria"/>
              </w:rPr>
              <w:t>70</w:t>
            </w:r>
            <w:r>
              <w:t xml:space="preserve">, </w:t>
            </w:r>
            <w:r>
              <w:rPr>
                <w:rFonts w:ascii="Cambria" w:eastAsia="Cambria" w:hAnsi="Cambria" w:cs="Cambria"/>
              </w:rPr>
              <w:t>6</w:t>
            </w:r>
            <w:r>
              <w:rPr>
                <w:rFonts w:ascii="Cambria" w:eastAsia="Cambria" w:hAnsi="Cambria" w:cs="Cambria"/>
                <w:i/>
              </w:rPr>
              <w:t>.</w:t>
            </w:r>
            <w:r>
              <w:rPr>
                <w:rFonts w:ascii="Cambria" w:eastAsia="Cambria" w:hAnsi="Cambria" w:cs="Cambria"/>
              </w:rPr>
              <w:t>2 × 10</w:t>
            </w:r>
            <w:r>
              <w:rPr>
                <w:rFonts w:ascii="Cambria" w:eastAsia="Cambria" w:hAnsi="Cambria" w:cs="Cambria"/>
                <w:vertAlign w:val="superscript"/>
              </w:rPr>
              <w:t>−10</w:t>
            </w:r>
          </w:p>
        </w:tc>
      </w:tr>
      <w:tr w:rsidR="00AC36B9" w14:paraId="6BFB2E9C" w14:textId="77777777">
        <w:trPr>
          <w:trHeight w:val="323"/>
        </w:trPr>
        <w:tc>
          <w:tcPr>
            <w:tcW w:w="2322" w:type="dxa"/>
            <w:tcBorders>
              <w:top w:val="nil"/>
              <w:left w:val="nil"/>
              <w:bottom w:val="single" w:sz="7" w:space="0" w:color="000000"/>
              <w:right w:val="nil"/>
            </w:tcBorders>
          </w:tcPr>
          <w:p w14:paraId="49A2D80C" w14:textId="77777777" w:rsidR="00AC36B9" w:rsidRDefault="00000000">
            <w:pPr>
              <w:spacing w:after="0" w:line="259" w:lineRule="auto"/>
              <w:ind w:left="120" w:firstLine="0"/>
            </w:pPr>
            <w:r>
              <w:t>Squared returns</w:t>
            </w:r>
          </w:p>
        </w:tc>
        <w:tc>
          <w:tcPr>
            <w:tcW w:w="1988" w:type="dxa"/>
            <w:tcBorders>
              <w:top w:val="nil"/>
              <w:left w:val="nil"/>
              <w:bottom w:val="single" w:sz="7" w:space="0" w:color="000000"/>
              <w:right w:val="nil"/>
            </w:tcBorders>
          </w:tcPr>
          <w:p w14:paraId="07471164" w14:textId="77777777" w:rsidR="00AC36B9" w:rsidRDefault="00000000">
            <w:pPr>
              <w:spacing w:after="0" w:line="259" w:lineRule="auto"/>
              <w:ind w:left="271" w:firstLine="0"/>
            </w:pPr>
            <w:r>
              <w:rPr>
                <w:rFonts w:ascii="Cambria" w:eastAsia="Cambria" w:hAnsi="Cambria" w:cs="Cambria"/>
              </w:rPr>
              <w:t>697</w:t>
            </w:r>
            <w:r>
              <w:rPr>
                <w:rFonts w:ascii="Cambria" w:eastAsia="Cambria" w:hAnsi="Cambria" w:cs="Cambria"/>
                <w:i/>
              </w:rPr>
              <w:t>.</w:t>
            </w:r>
            <w:r>
              <w:rPr>
                <w:rFonts w:ascii="Cambria" w:eastAsia="Cambria" w:hAnsi="Cambria" w:cs="Cambria"/>
              </w:rPr>
              <w:t>87</w:t>
            </w:r>
            <w:r>
              <w:t xml:space="preserve">, </w:t>
            </w:r>
            <w:r>
              <w:rPr>
                <w:rFonts w:ascii="Cambria" w:eastAsia="Cambria" w:hAnsi="Cambria" w:cs="Cambria"/>
              </w:rPr>
              <w:t>≈ 0</w:t>
            </w:r>
          </w:p>
        </w:tc>
        <w:tc>
          <w:tcPr>
            <w:tcW w:w="1953" w:type="dxa"/>
            <w:tcBorders>
              <w:top w:val="nil"/>
              <w:left w:val="nil"/>
              <w:bottom w:val="single" w:sz="7" w:space="0" w:color="000000"/>
              <w:right w:val="nil"/>
            </w:tcBorders>
          </w:tcPr>
          <w:p w14:paraId="4C72D250" w14:textId="77777777" w:rsidR="00AC36B9" w:rsidRDefault="00000000">
            <w:pPr>
              <w:spacing w:after="0" w:line="259" w:lineRule="auto"/>
              <w:ind w:left="259" w:firstLine="0"/>
            </w:pPr>
            <w:r>
              <w:rPr>
                <w:rFonts w:ascii="Cambria" w:eastAsia="Cambria" w:hAnsi="Cambria" w:cs="Cambria"/>
              </w:rPr>
              <w:t>1078</w:t>
            </w:r>
            <w:r>
              <w:rPr>
                <w:rFonts w:ascii="Cambria" w:eastAsia="Cambria" w:hAnsi="Cambria" w:cs="Cambria"/>
                <w:i/>
              </w:rPr>
              <w:t>.</w:t>
            </w:r>
            <w:r>
              <w:rPr>
                <w:rFonts w:ascii="Cambria" w:eastAsia="Cambria" w:hAnsi="Cambria" w:cs="Cambria"/>
              </w:rPr>
              <w:t>62</w:t>
            </w:r>
            <w:r>
              <w:t xml:space="preserve">, </w:t>
            </w:r>
            <w:r>
              <w:rPr>
                <w:rFonts w:ascii="Cambria" w:eastAsia="Cambria" w:hAnsi="Cambria" w:cs="Cambria"/>
              </w:rPr>
              <w:t>≈ 0</w:t>
            </w:r>
          </w:p>
        </w:tc>
      </w:tr>
    </w:tbl>
    <w:p w14:paraId="1E3817ED" w14:textId="77777777" w:rsidR="00AC36B9" w:rsidRDefault="00000000">
      <w:pPr>
        <w:ind w:left="213" w:right="608"/>
      </w:pPr>
      <w:r>
        <w:t xml:space="preserve">Interestingly, even the raw-return Ljung-Box statistic rejects the white-noise null here, driven mostly by the mild negative lag-1 to lag-4 structure typical of bid-ask bounce and non-synchronous trading in liquid large-cap NSE names; this effect is small in magnitude (all individual autocorrelations below 0.2 in absolute value) and economically difficult to exploit net of transaction costs. The squared-return statistic is two orders of magnitude larger and decays far more slowly, which is the standard time-series signature of </w:t>
      </w:r>
      <w:r>
        <w:rPr>
          <w:b/>
        </w:rPr>
        <w:t>volatility clustering</w:t>
      </w:r>
      <w:r>
        <w:t>: large moves tend to be followed by large moves of either sign, and calm periods by calm periods, even though the direction of the next move remains close to unpredictable. This is a direct violation of the i.i.d. increment assumption underlying the Wiener process, since a Wiener process by construction has independent, identically distributed increments with constant variance.</w:t>
      </w:r>
    </w:p>
    <w:p w14:paraId="68FA9F4F" w14:textId="77777777" w:rsidR="00AC36B9" w:rsidRDefault="00000000">
      <w:pPr>
        <w:pStyle w:val="Heading1"/>
        <w:ind w:left="719" w:right="0" w:hanging="516"/>
      </w:pPr>
      <w:bookmarkStart w:id="4" w:name="_Toc12852"/>
      <w:r>
        <w:t>Empirical Return Density: Gaussian vs. Heavy-Tailed Fits</w:t>
      </w:r>
      <w:bookmarkEnd w:id="4"/>
    </w:p>
    <w:p w14:paraId="71BE8D16" w14:textId="77777777" w:rsidR="00AC36B9" w:rsidRDefault="00000000">
      <w:pPr>
        <w:spacing w:after="404"/>
        <w:ind w:left="213" w:right="462"/>
      </w:pPr>
      <w:r>
        <w:t>The third prediction, that returns are normally distributed, is tested by comparing the empirical return histogram to a maximum-likelihood Gaussian fit, and by comparing the tail of the absolute-return distribution to Weibull and Gamma fits - the standard econophysics alternative for capturing sub-exponential or stretched-exponential tail decay in financial returns (Gopikrishnan et al., 1999; Silva and Yakovenko, 2003).</w:t>
      </w:r>
    </w:p>
    <w:p w14:paraId="36377AB5" w14:textId="77777777" w:rsidR="00AC36B9" w:rsidRDefault="00000000">
      <w:pPr>
        <w:pStyle w:val="Heading2"/>
        <w:spacing w:after="355"/>
        <w:ind w:left="777" w:hanging="574"/>
      </w:pPr>
      <w:bookmarkStart w:id="5" w:name="_Toc12853"/>
      <w:r>
        <w:t>Summary statistics</w:t>
      </w:r>
      <w:bookmarkEnd w:id="5"/>
    </w:p>
    <w:p w14:paraId="096B3305" w14:textId="77777777" w:rsidR="00AC36B9" w:rsidRDefault="00000000">
      <w:pPr>
        <w:spacing w:after="7" w:line="251" w:lineRule="auto"/>
        <w:ind w:left="213" w:right="555"/>
      </w:pPr>
      <w:r>
        <w:rPr>
          <w:b/>
          <w:sz w:val="20"/>
        </w:rPr>
        <w:t xml:space="preserve">Table 3: </w:t>
      </w:r>
      <w:r>
        <w:rPr>
          <w:sz w:val="20"/>
        </w:rPr>
        <w:t>Descriptive statistics of daily log returns</w:t>
      </w:r>
    </w:p>
    <w:tbl>
      <w:tblPr>
        <w:tblStyle w:val="TableGrid"/>
        <w:tblW w:w="4976" w:type="dxa"/>
        <w:tblInd w:w="2322" w:type="dxa"/>
        <w:tblCellMar>
          <w:top w:w="39" w:type="dxa"/>
          <w:left w:w="0" w:type="dxa"/>
          <w:bottom w:w="0" w:type="dxa"/>
          <w:right w:w="115" w:type="dxa"/>
        </w:tblCellMar>
        <w:tblLook w:val="04A0" w:firstRow="1" w:lastRow="0" w:firstColumn="1" w:lastColumn="0" w:noHBand="0" w:noVBand="1"/>
      </w:tblPr>
      <w:tblGrid>
        <w:gridCol w:w="3108"/>
        <w:gridCol w:w="1868"/>
      </w:tblGrid>
      <w:tr w:rsidR="00AC36B9" w14:paraId="0CD5B324" w14:textId="77777777">
        <w:trPr>
          <w:trHeight w:val="383"/>
        </w:trPr>
        <w:tc>
          <w:tcPr>
            <w:tcW w:w="3108" w:type="dxa"/>
            <w:tcBorders>
              <w:top w:val="single" w:sz="7" w:space="0" w:color="000000"/>
              <w:left w:val="nil"/>
              <w:bottom w:val="single" w:sz="4" w:space="0" w:color="000000"/>
              <w:right w:val="nil"/>
            </w:tcBorders>
          </w:tcPr>
          <w:p w14:paraId="7091024F" w14:textId="77777777" w:rsidR="00AC36B9" w:rsidRDefault="00000000">
            <w:pPr>
              <w:spacing w:after="0" w:line="259" w:lineRule="auto"/>
              <w:ind w:left="120" w:firstLine="0"/>
            </w:pPr>
            <w:r>
              <w:t>Statistic</w:t>
            </w:r>
          </w:p>
        </w:tc>
        <w:tc>
          <w:tcPr>
            <w:tcW w:w="1868" w:type="dxa"/>
            <w:tcBorders>
              <w:top w:val="single" w:sz="7" w:space="0" w:color="000000"/>
              <w:left w:val="nil"/>
              <w:bottom w:val="single" w:sz="4" w:space="0" w:color="000000"/>
              <w:right w:val="nil"/>
            </w:tcBorders>
          </w:tcPr>
          <w:p w14:paraId="06127315" w14:textId="77777777" w:rsidR="00AC36B9" w:rsidRDefault="00000000">
            <w:pPr>
              <w:spacing w:after="0" w:line="259" w:lineRule="auto"/>
              <w:ind w:left="0" w:right="4" w:firstLine="0"/>
              <w:jc w:val="center"/>
            </w:pPr>
            <w:r>
              <w:t>Value</w:t>
            </w:r>
          </w:p>
        </w:tc>
      </w:tr>
      <w:tr w:rsidR="00AC36B9" w14:paraId="7B6707B4" w14:textId="77777777">
        <w:trPr>
          <w:trHeight w:val="336"/>
        </w:trPr>
        <w:tc>
          <w:tcPr>
            <w:tcW w:w="3108" w:type="dxa"/>
            <w:tcBorders>
              <w:top w:val="single" w:sz="4" w:space="0" w:color="000000"/>
              <w:left w:val="nil"/>
              <w:bottom w:val="nil"/>
              <w:right w:val="nil"/>
            </w:tcBorders>
          </w:tcPr>
          <w:p w14:paraId="7D461CA1" w14:textId="77777777" w:rsidR="00AC36B9" w:rsidRDefault="00000000">
            <w:pPr>
              <w:spacing w:after="0" w:line="259" w:lineRule="auto"/>
              <w:ind w:left="120" w:firstLine="0"/>
            </w:pPr>
            <w:r>
              <w:t>Mean daily return</w:t>
            </w:r>
          </w:p>
        </w:tc>
        <w:tc>
          <w:tcPr>
            <w:tcW w:w="1868" w:type="dxa"/>
            <w:tcBorders>
              <w:top w:val="single" w:sz="4" w:space="0" w:color="000000"/>
              <w:left w:val="nil"/>
              <w:bottom w:val="nil"/>
              <w:right w:val="nil"/>
            </w:tcBorders>
          </w:tcPr>
          <w:p w14:paraId="05C5414E" w14:textId="77777777" w:rsidR="00AC36B9" w:rsidRDefault="00000000">
            <w:pPr>
              <w:spacing w:after="0" w:line="259" w:lineRule="auto"/>
              <w:ind w:left="0" w:right="4" w:firstLine="0"/>
              <w:jc w:val="center"/>
            </w:pPr>
            <w:r>
              <w:rPr>
                <w:rFonts w:ascii="Cambria" w:eastAsia="Cambria" w:hAnsi="Cambria" w:cs="Cambria"/>
              </w:rPr>
              <w:t>0</w:t>
            </w:r>
            <w:r>
              <w:rPr>
                <w:rFonts w:ascii="Cambria" w:eastAsia="Cambria" w:hAnsi="Cambria" w:cs="Cambria"/>
                <w:i/>
              </w:rPr>
              <w:t>.</w:t>
            </w:r>
            <w:r>
              <w:rPr>
                <w:rFonts w:ascii="Cambria" w:eastAsia="Cambria" w:hAnsi="Cambria" w:cs="Cambria"/>
              </w:rPr>
              <w:t>00134</w:t>
            </w:r>
          </w:p>
        </w:tc>
      </w:tr>
      <w:tr w:rsidR="00AC36B9" w14:paraId="52B5520F" w14:textId="77777777">
        <w:trPr>
          <w:trHeight w:val="271"/>
        </w:trPr>
        <w:tc>
          <w:tcPr>
            <w:tcW w:w="3108" w:type="dxa"/>
            <w:tcBorders>
              <w:top w:val="nil"/>
              <w:left w:val="nil"/>
              <w:bottom w:val="nil"/>
              <w:right w:val="nil"/>
            </w:tcBorders>
          </w:tcPr>
          <w:p w14:paraId="3A9F7156" w14:textId="77777777" w:rsidR="00AC36B9" w:rsidRDefault="00000000">
            <w:pPr>
              <w:spacing w:after="0" w:line="259" w:lineRule="auto"/>
              <w:ind w:left="120" w:firstLine="0"/>
            </w:pPr>
            <w:r>
              <w:t>Standard deviation</w:t>
            </w:r>
          </w:p>
        </w:tc>
        <w:tc>
          <w:tcPr>
            <w:tcW w:w="1868" w:type="dxa"/>
            <w:tcBorders>
              <w:top w:val="nil"/>
              <w:left w:val="nil"/>
              <w:bottom w:val="nil"/>
              <w:right w:val="nil"/>
            </w:tcBorders>
          </w:tcPr>
          <w:p w14:paraId="11CBCE48" w14:textId="77777777" w:rsidR="00AC36B9" w:rsidRDefault="00000000">
            <w:pPr>
              <w:spacing w:after="0" w:line="259" w:lineRule="auto"/>
              <w:ind w:left="0" w:right="4" w:firstLine="0"/>
              <w:jc w:val="center"/>
            </w:pPr>
            <w:r>
              <w:rPr>
                <w:rFonts w:ascii="Cambria" w:eastAsia="Cambria" w:hAnsi="Cambria" w:cs="Cambria"/>
              </w:rPr>
              <w:t>0</w:t>
            </w:r>
            <w:r>
              <w:rPr>
                <w:rFonts w:ascii="Cambria" w:eastAsia="Cambria" w:hAnsi="Cambria" w:cs="Cambria"/>
                <w:i/>
              </w:rPr>
              <w:t>.</w:t>
            </w:r>
            <w:r>
              <w:rPr>
                <w:rFonts w:ascii="Cambria" w:eastAsia="Cambria" w:hAnsi="Cambria" w:cs="Cambria"/>
              </w:rPr>
              <w:t>01742</w:t>
            </w:r>
          </w:p>
        </w:tc>
      </w:tr>
      <w:tr w:rsidR="00AC36B9" w14:paraId="5E51D981" w14:textId="77777777">
        <w:trPr>
          <w:trHeight w:val="271"/>
        </w:trPr>
        <w:tc>
          <w:tcPr>
            <w:tcW w:w="3108" w:type="dxa"/>
            <w:tcBorders>
              <w:top w:val="nil"/>
              <w:left w:val="nil"/>
              <w:bottom w:val="nil"/>
              <w:right w:val="nil"/>
            </w:tcBorders>
          </w:tcPr>
          <w:p w14:paraId="1119E23E" w14:textId="77777777" w:rsidR="00AC36B9" w:rsidRDefault="00000000">
            <w:pPr>
              <w:spacing w:after="0" w:line="259" w:lineRule="auto"/>
              <w:ind w:left="120" w:firstLine="0"/>
            </w:pPr>
            <w:r>
              <w:t>Annualised volatility</w:t>
            </w:r>
          </w:p>
        </w:tc>
        <w:tc>
          <w:tcPr>
            <w:tcW w:w="1868" w:type="dxa"/>
            <w:tcBorders>
              <w:top w:val="nil"/>
              <w:left w:val="nil"/>
              <w:bottom w:val="nil"/>
              <w:right w:val="nil"/>
            </w:tcBorders>
          </w:tcPr>
          <w:p w14:paraId="2909215E" w14:textId="77777777" w:rsidR="00AC36B9" w:rsidRDefault="00000000">
            <w:pPr>
              <w:spacing w:after="0" w:line="259" w:lineRule="auto"/>
              <w:ind w:left="0" w:right="4" w:firstLine="0"/>
              <w:jc w:val="center"/>
            </w:pPr>
            <w:r>
              <w:rPr>
                <w:rFonts w:ascii="Cambria" w:eastAsia="Cambria" w:hAnsi="Cambria" w:cs="Cambria"/>
              </w:rPr>
              <w:t>27</w:t>
            </w:r>
            <w:r>
              <w:rPr>
                <w:rFonts w:ascii="Cambria" w:eastAsia="Cambria" w:hAnsi="Cambria" w:cs="Cambria"/>
                <w:i/>
              </w:rPr>
              <w:t>.</w:t>
            </w:r>
            <w:r>
              <w:rPr>
                <w:rFonts w:ascii="Cambria" w:eastAsia="Cambria" w:hAnsi="Cambria" w:cs="Cambria"/>
              </w:rPr>
              <w:t>65%</w:t>
            </w:r>
          </w:p>
        </w:tc>
      </w:tr>
      <w:tr w:rsidR="00AC36B9" w14:paraId="05F20FD3" w14:textId="77777777">
        <w:trPr>
          <w:trHeight w:val="271"/>
        </w:trPr>
        <w:tc>
          <w:tcPr>
            <w:tcW w:w="3108" w:type="dxa"/>
            <w:tcBorders>
              <w:top w:val="nil"/>
              <w:left w:val="nil"/>
              <w:bottom w:val="nil"/>
              <w:right w:val="nil"/>
            </w:tcBorders>
          </w:tcPr>
          <w:p w14:paraId="05121936" w14:textId="77777777" w:rsidR="00AC36B9" w:rsidRDefault="00000000">
            <w:pPr>
              <w:spacing w:after="0" w:line="259" w:lineRule="auto"/>
              <w:ind w:left="120" w:firstLine="0"/>
            </w:pPr>
            <w:r>
              <w:t>Skewness</w:t>
            </w:r>
          </w:p>
        </w:tc>
        <w:tc>
          <w:tcPr>
            <w:tcW w:w="1868" w:type="dxa"/>
            <w:tcBorders>
              <w:top w:val="nil"/>
              <w:left w:val="nil"/>
              <w:bottom w:val="nil"/>
              <w:right w:val="nil"/>
            </w:tcBorders>
          </w:tcPr>
          <w:p w14:paraId="225DDCF3" w14:textId="77777777" w:rsidR="00AC36B9" w:rsidRDefault="00000000">
            <w:pPr>
              <w:spacing w:after="0" w:line="259" w:lineRule="auto"/>
              <w:ind w:left="0" w:right="4" w:firstLine="0"/>
              <w:jc w:val="center"/>
            </w:pPr>
            <w:r>
              <w:rPr>
                <w:rFonts w:ascii="Cambria" w:eastAsia="Cambria" w:hAnsi="Cambria" w:cs="Cambria"/>
              </w:rPr>
              <w:t>1</w:t>
            </w:r>
            <w:r>
              <w:rPr>
                <w:rFonts w:ascii="Cambria" w:eastAsia="Cambria" w:hAnsi="Cambria" w:cs="Cambria"/>
                <w:i/>
              </w:rPr>
              <w:t>.</w:t>
            </w:r>
            <w:r>
              <w:rPr>
                <w:rFonts w:ascii="Cambria" w:eastAsia="Cambria" w:hAnsi="Cambria" w:cs="Cambria"/>
              </w:rPr>
              <w:t>045</w:t>
            </w:r>
          </w:p>
        </w:tc>
      </w:tr>
      <w:tr w:rsidR="00AC36B9" w14:paraId="2CBE94CC" w14:textId="77777777">
        <w:trPr>
          <w:trHeight w:val="265"/>
        </w:trPr>
        <w:tc>
          <w:tcPr>
            <w:tcW w:w="3108" w:type="dxa"/>
            <w:tcBorders>
              <w:top w:val="nil"/>
              <w:left w:val="nil"/>
              <w:bottom w:val="nil"/>
              <w:right w:val="nil"/>
            </w:tcBorders>
          </w:tcPr>
          <w:p w14:paraId="3255D850" w14:textId="77777777" w:rsidR="00AC36B9" w:rsidRDefault="00000000">
            <w:pPr>
              <w:spacing w:after="0" w:line="259" w:lineRule="auto"/>
              <w:ind w:left="120" w:firstLine="0"/>
            </w:pPr>
            <w:r>
              <w:t>Excess kurtosis</w:t>
            </w:r>
          </w:p>
        </w:tc>
        <w:tc>
          <w:tcPr>
            <w:tcW w:w="1868" w:type="dxa"/>
            <w:tcBorders>
              <w:top w:val="nil"/>
              <w:left w:val="nil"/>
              <w:bottom w:val="nil"/>
              <w:right w:val="nil"/>
            </w:tcBorders>
          </w:tcPr>
          <w:p w14:paraId="2258338E" w14:textId="77777777" w:rsidR="00AC36B9" w:rsidRDefault="00000000">
            <w:pPr>
              <w:spacing w:after="0" w:line="259" w:lineRule="auto"/>
              <w:ind w:left="0" w:right="4" w:firstLine="0"/>
              <w:jc w:val="center"/>
            </w:pPr>
            <w:r>
              <w:rPr>
                <w:rFonts w:ascii="Cambria" w:eastAsia="Cambria" w:hAnsi="Cambria" w:cs="Cambria"/>
              </w:rPr>
              <w:t>8</w:t>
            </w:r>
            <w:r>
              <w:rPr>
                <w:rFonts w:ascii="Cambria" w:eastAsia="Cambria" w:hAnsi="Cambria" w:cs="Cambria"/>
                <w:i/>
              </w:rPr>
              <w:t>.</w:t>
            </w:r>
            <w:r>
              <w:rPr>
                <w:rFonts w:ascii="Cambria" w:eastAsia="Cambria" w:hAnsi="Cambria" w:cs="Cambria"/>
              </w:rPr>
              <w:t>442</w:t>
            </w:r>
          </w:p>
        </w:tc>
      </w:tr>
      <w:tr w:rsidR="00AC36B9" w14:paraId="3738989B" w14:textId="77777777">
        <w:trPr>
          <w:trHeight w:val="323"/>
        </w:trPr>
        <w:tc>
          <w:tcPr>
            <w:tcW w:w="3108" w:type="dxa"/>
            <w:tcBorders>
              <w:top w:val="nil"/>
              <w:left w:val="nil"/>
              <w:bottom w:val="single" w:sz="7" w:space="0" w:color="000000"/>
              <w:right w:val="nil"/>
            </w:tcBorders>
          </w:tcPr>
          <w:p w14:paraId="265F1128" w14:textId="77777777" w:rsidR="00AC36B9" w:rsidRDefault="00000000">
            <w:pPr>
              <w:spacing w:after="0" w:line="259" w:lineRule="auto"/>
              <w:ind w:left="120" w:firstLine="0"/>
            </w:pPr>
            <w:r>
              <w:t>Jarque-Bera statistic</w:t>
            </w:r>
          </w:p>
        </w:tc>
        <w:tc>
          <w:tcPr>
            <w:tcW w:w="1868" w:type="dxa"/>
            <w:tcBorders>
              <w:top w:val="nil"/>
              <w:left w:val="nil"/>
              <w:bottom w:val="single" w:sz="7" w:space="0" w:color="000000"/>
              <w:right w:val="nil"/>
            </w:tcBorders>
          </w:tcPr>
          <w:p w14:paraId="2821E41B" w14:textId="77777777" w:rsidR="00AC36B9" w:rsidRDefault="00000000">
            <w:pPr>
              <w:spacing w:after="0" w:line="259" w:lineRule="auto"/>
              <w:ind w:left="0" w:firstLine="0"/>
            </w:pPr>
            <w:r>
              <w:rPr>
                <w:rFonts w:ascii="Cambria" w:eastAsia="Cambria" w:hAnsi="Cambria" w:cs="Cambria"/>
              </w:rPr>
              <w:t>3151</w:t>
            </w:r>
            <w:r>
              <w:rPr>
                <w:rFonts w:ascii="Cambria" w:eastAsia="Cambria" w:hAnsi="Cambria" w:cs="Cambria"/>
                <w:i/>
              </w:rPr>
              <w:t>.</w:t>
            </w:r>
            <w:r>
              <w:rPr>
                <w:rFonts w:ascii="Cambria" w:eastAsia="Cambria" w:hAnsi="Cambria" w:cs="Cambria"/>
              </w:rPr>
              <w:t xml:space="preserve">28 </w:t>
            </w:r>
            <w:r>
              <w:t>(</w:t>
            </w:r>
            <w:r>
              <w:rPr>
                <w:rFonts w:ascii="Cambria" w:eastAsia="Cambria" w:hAnsi="Cambria" w:cs="Cambria"/>
                <w:i/>
              </w:rPr>
              <w:t xml:space="preserve">p </w:t>
            </w:r>
            <w:r>
              <w:rPr>
                <w:rFonts w:ascii="Cambria" w:eastAsia="Cambria" w:hAnsi="Cambria" w:cs="Cambria"/>
              </w:rPr>
              <w:t>≈ 0</w:t>
            </w:r>
            <w:r>
              <w:t>)</w:t>
            </w:r>
          </w:p>
        </w:tc>
      </w:tr>
    </w:tbl>
    <w:p w14:paraId="11434003" w14:textId="77777777" w:rsidR="00AC36B9" w:rsidRDefault="00000000">
      <w:pPr>
        <w:ind w:left="213" w:right="462"/>
      </w:pPr>
      <w:r>
        <w:t xml:space="preserve">An excess kurtosis of </w:t>
      </w:r>
      <w:r>
        <w:rPr>
          <w:rFonts w:ascii="Cambria" w:eastAsia="Cambria" w:hAnsi="Cambria" w:cs="Cambria"/>
        </w:rPr>
        <w:t>8</w:t>
      </w:r>
      <w:r>
        <w:rPr>
          <w:rFonts w:ascii="Cambria" w:eastAsia="Cambria" w:hAnsi="Cambria" w:cs="Cambria"/>
          <w:i/>
        </w:rPr>
        <w:t>.</w:t>
      </w:r>
      <w:r>
        <w:rPr>
          <w:rFonts w:ascii="Cambria" w:eastAsia="Cambria" w:hAnsi="Cambria" w:cs="Cambria"/>
        </w:rPr>
        <w:t xml:space="preserve">44 </w:t>
      </w:r>
      <w:r>
        <w:t>against the Gaussian benchmark of zero, and a Jarque-Bera statistic that overwhelmingly rejects normality, already indicate a sharply peaked, fat-tailed distribution rather than a bell curve of matched variance.</w:t>
      </w:r>
    </w:p>
    <w:p w14:paraId="5BFB746D" w14:textId="77777777" w:rsidR="00AC36B9" w:rsidRDefault="00000000">
      <w:pPr>
        <w:spacing w:after="242" w:line="259" w:lineRule="auto"/>
        <w:ind w:left="1504" w:firstLine="0"/>
      </w:pPr>
      <w:r>
        <w:rPr>
          <w:noProof/>
        </w:rPr>
        <w:lastRenderedPageBreak/>
        <w:drawing>
          <wp:inline distT="0" distB="0" distL="0" distR="0" wp14:anchorId="36C0DD5D" wp14:editId="1FF91925">
            <wp:extent cx="4199291" cy="2799527"/>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10"/>
                    <a:stretch>
                      <a:fillRect/>
                    </a:stretch>
                  </pic:blipFill>
                  <pic:spPr>
                    <a:xfrm>
                      <a:off x="0" y="0"/>
                      <a:ext cx="4199291" cy="2799527"/>
                    </a:xfrm>
                    <a:prstGeom prst="rect">
                      <a:avLst/>
                    </a:prstGeom>
                  </pic:spPr>
                </pic:pic>
              </a:graphicData>
            </a:graphic>
          </wp:inline>
        </w:drawing>
      </w:r>
    </w:p>
    <w:p w14:paraId="58AE626C" w14:textId="77777777" w:rsidR="00AC36B9" w:rsidRDefault="00000000">
      <w:pPr>
        <w:spacing w:after="7" w:line="251" w:lineRule="auto"/>
        <w:ind w:left="213" w:right="555"/>
      </w:pPr>
      <w:r>
        <w:rPr>
          <w:b/>
          <w:sz w:val="20"/>
        </w:rPr>
        <w:t xml:space="preserve">Figure 3: </w:t>
      </w:r>
      <w:r>
        <w:rPr>
          <w:sz w:val="20"/>
        </w:rPr>
        <w:t>Empirical density of daily log returns (log-scaled vertical axis) against a Gaussian fit with matched mean and variance. The Gaussian curve underestimates both the central peak and the tail mass.</w:t>
      </w:r>
    </w:p>
    <w:p w14:paraId="3502A77F" w14:textId="77777777" w:rsidR="00AC36B9" w:rsidRDefault="00000000">
      <w:pPr>
        <w:spacing w:after="242" w:line="259" w:lineRule="auto"/>
        <w:ind w:left="1504" w:firstLine="0"/>
      </w:pPr>
      <w:r>
        <w:rPr>
          <w:noProof/>
        </w:rPr>
        <w:drawing>
          <wp:inline distT="0" distB="0" distL="0" distR="0" wp14:anchorId="32466A8C" wp14:editId="527248FC">
            <wp:extent cx="4199291" cy="2799527"/>
            <wp:effectExtent l="0" t="0" r="0" b="0"/>
            <wp:docPr id="550" name="Picture 550"/>
            <wp:cNvGraphicFramePr/>
            <a:graphic xmlns:a="http://schemas.openxmlformats.org/drawingml/2006/main">
              <a:graphicData uri="http://schemas.openxmlformats.org/drawingml/2006/picture">
                <pic:pic xmlns:pic="http://schemas.openxmlformats.org/drawingml/2006/picture">
                  <pic:nvPicPr>
                    <pic:cNvPr id="550" name="Picture 550"/>
                    <pic:cNvPicPr/>
                  </pic:nvPicPr>
                  <pic:blipFill>
                    <a:blip r:embed="rId11"/>
                    <a:stretch>
                      <a:fillRect/>
                    </a:stretch>
                  </pic:blipFill>
                  <pic:spPr>
                    <a:xfrm>
                      <a:off x="0" y="0"/>
                      <a:ext cx="4199291" cy="2799527"/>
                    </a:xfrm>
                    <a:prstGeom prst="rect">
                      <a:avLst/>
                    </a:prstGeom>
                  </pic:spPr>
                </pic:pic>
              </a:graphicData>
            </a:graphic>
          </wp:inline>
        </w:drawing>
      </w:r>
    </w:p>
    <w:p w14:paraId="41E079F2" w14:textId="77777777" w:rsidR="00AC36B9" w:rsidRDefault="00000000">
      <w:pPr>
        <w:spacing w:after="7" w:line="251" w:lineRule="auto"/>
        <w:ind w:left="213" w:right="555"/>
      </w:pPr>
      <w:r>
        <w:rPr>
          <w:b/>
          <w:sz w:val="20"/>
        </w:rPr>
        <w:t xml:space="preserve">Figure 4: </w:t>
      </w:r>
      <w:r>
        <w:rPr>
          <w:sz w:val="20"/>
        </w:rPr>
        <w:t>Tail of the absolute demeaned return distribution against Weibull, Gamma, and half-normal (Gaussian-implied) fits, log-scaled vertical axis. The half-normal curve collapses far faster than the empirical tail; the Weibull and Gamma curves track the observed decay closely.</w:t>
      </w:r>
    </w:p>
    <w:p w14:paraId="5BB30557" w14:textId="77777777" w:rsidR="00AC36B9" w:rsidRDefault="00000000">
      <w:pPr>
        <w:spacing w:after="7" w:line="251" w:lineRule="auto"/>
        <w:ind w:left="213" w:right="555"/>
      </w:pPr>
      <w:r>
        <w:rPr>
          <w:b/>
          <w:sz w:val="20"/>
        </w:rPr>
        <w:t xml:space="preserve">Table 4: </w:t>
      </w:r>
      <w:r>
        <w:rPr>
          <w:sz w:val="20"/>
        </w:rPr>
        <w:t>Goodness of fit: Gaussian vs. heavy-tailed alternatives</w:t>
      </w:r>
    </w:p>
    <w:tbl>
      <w:tblPr>
        <w:tblStyle w:val="TableGrid"/>
        <w:tblW w:w="9573" w:type="dxa"/>
        <w:tblInd w:w="218" w:type="dxa"/>
        <w:tblCellMar>
          <w:top w:w="39" w:type="dxa"/>
          <w:left w:w="0" w:type="dxa"/>
          <w:bottom w:w="0" w:type="dxa"/>
          <w:right w:w="115" w:type="dxa"/>
        </w:tblCellMar>
        <w:tblLook w:val="04A0" w:firstRow="1" w:lastRow="0" w:firstColumn="1" w:lastColumn="0" w:noHBand="0" w:noVBand="1"/>
      </w:tblPr>
      <w:tblGrid>
        <w:gridCol w:w="5226"/>
        <w:gridCol w:w="1916"/>
        <w:gridCol w:w="1419"/>
        <w:gridCol w:w="1012"/>
      </w:tblGrid>
      <w:tr w:rsidR="00AC36B9" w14:paraId="38416DF5" w14:textId="77777777">
        <w:trPr>
          <w:trHeight w:val="383"/>
        </w:trPr>
        <w:tc>
          <w:tcPr>
            <w:tcW w:w="5231" w:type="dxa"/>
            <w:tcBorders>
              <w:top w:val="single" w:sz="7" w:space="0" w:color="000000"/>
              <w:left w:val="nil"/>
              <w:bottom w:val="single" w:sz="4" w:space="0" w:color="000000"/>
              <w:right w:val="nil"/>
            </w:tcBorders>
          </w:tcPr>
          <w:p w14:paraId="7DE0BEEE" w14:textId="77777777" w:rsidR="00AC36B9" w:rsidRDefault="00000000">
            <w:pPr>
              <w:spacing w:after="0" w:line="259" w:lineRule="auto"/>
              <w:ind w:left="120" w:firstLine="0"/>
            </w:pPr>
            <w:r>
              <w:t>Fitted distribution</w:t>
            </w:r>
          </w:p>
        </w:tc>
        <w:tc>
          <w:tcPr>
            <w:tcW w:w="3337" w:type="dxa"/>
            <w:gridSpan w:val="2"/>
            <w:tcBorders>
              <w:top w:val="single" w:sz="7" w:space="0" w:color="000000"/>
              <w:left w:val="nil"/>
              <w:bottom w:val="single" w:sz="4" w:space="0" w:color="000000"/>
              <w:right w:val="nil"/>
            </w:tcBorders>
          </w:tcPr>
          <w:p w14:paraId="3209B8FB" w14:textId="77777777" w:rsidR="00AC36B9" w:rsidRDefault="00000000">
            <w:pPr>
              <w:spacing w:after="0" w:line="259" w:lineRule="auto"/>
              <w:ind w:left="0" w:firstLine="0"/>
            </w:pPr>
            <w:r>
              <w:t xml:space="preserve">KS statistic KS </w:t>
            </w:r>
            <w:r>
              <w:rPr>
                <w:rFonts w:ascii="Cambria" w:eastAsia="Cambria" w:hAnsi="Cambria" w:cs="Cambria"/>
                <w:i/>
              </w:rPr>
              <w:t>p</w:t>
            </w:r>
            <w:r>
              <w:t>-value</w:t>
            </w:r>
          </w:p>
        </w:tc>
        <w:tc>
          <w:tcPr>
            <w:tcW w:w="1004" w:type="dxa"/>
            <w:tcBorders>
              <w:top w:val="single" w:sz="7" w:space="0" w:color="000000"/>
              <w:left w:val="nil"/>
              <w:bottom w:val="single" w:sz="4" w:space="0" w:color="000000"/>
              <w:right w:val="nil"/>
            </w:tcBorders>
          </w:tcPr>
          <w:p w14:paraId="3A0A4D3A" w14:textId="77777777" w:rsidR="00AC36B9" w:rsidRDefault="00000000">
            <w:pPr>
              <w:spacing w:after="0" w:line="259" w:lineRule="auto"/>
              <w:ind w:left="246" w:firstLine="0"/>
            </w:pPr>
            <w:r>
              <w:t>AIC</w:t>
            </w:r>
          </w:p>
        </w:tc>
      </w:tr>
      <w:tr w:rsidR="00AC36B9" w14:paraId="03359C47" w14:textId="77777777">
        <w:trPr>
          <w:trHeight w:val="313"/>
        </w:trPr>
        <w:tc>
          <w:tcPr>
            <w:tcW w:w="5231" w:type="dxa"/>
            <w:tcBorders>
              <w:top w:val="single" w:sz="4" w:space="0" w:color="000000"/>
              <w:left w:val="nil"/>
              <w:bottom w:val="nil"/>
              <w:right w:val="nil"/>
            </w:tcBorders>
          </w:tcPr>
          <w:p w14:paraId="41241936" w14:textId="77777777" w:rsidR="00AC36B9" w:rsidRDefault="00000000">
            <w:pPr>
              <w:spacing w:after="0" w:line="259" w:lineRule="auto"/>
              <w:ind w:left="120" w:firstLine="0"/>
            </w:pPr>
            <w:r>
              <w:t>Gaussian (on raw returns)</w:t>
            </w:r>
          </w:p>
        </w:tc>
        <w:tc>
          <w:tcPr>
            <w:tcW w:w="1917" w:type="dxa"/>
            <w:tcBorders>
              <w:top w:val="single" w:sz="4" w:space="0" w:color="000000"/>
              <w:left w:val="nil"/>
              <w:bottom w:val="nil"/>
              <w:right w:val="nil"/>
            </w:tcBorders>
          </w:tcPr>
          <w:p w14:paraId="20E7F1DA" w14:textId="77777777" w:rsidR="00AC36B9" w:rsidRDefault="00000000">
            <w:pPr>
              <w:spacing w:after="0" w:line="259" w:lineRule="auto"/>
              <w:ind w:left="537" w:firstLine="0"/>
            </w:pPr>
            <w:r>
              <w:rPr>
                <w:rFonts w:ascii="Cambria" w:eastAsia="Cambria" w:hAnsi="Cambria" w:cs="Cambria"/>
              </w:rPr>
              <w:t>0</w:t>
            </w:r>
            <w:r>
              <w:rPr>
                <w:rFonts w:ascii="Cambria" w:eastAsia="Cambria" w:hAnsi="Cambria" w:cs="Cambria"/>
                <w:i/>
              </w:rPr>
              <w:t>.</w:t>
            </w:r>
            <w:r>
              <w:rPr>
                <w:rFonts w:ascii="Cambria" w:eastAsia="Cambria" w:hAnsi="Cambria" w:cs="Cambria"/>
              </w:rPr>
              <w:t>134</w:t>
            </w:r>
          </w:p>
        </w:tc>
        <w:tc>
          <w:tcPr>
            <w:tcW w:w="1420" w:type="dxa"/>
            <w:tcBorders>
              <w:top w:val="single" w:sz="4" w:space="0" w:color="000000"/>
              <w:left w:val="nil"/>
              <w:bottom w:val="nil"/>
              <w:right w:val="nil"/>
            </w:tcBorders>
          </w:tcPr>
          <w:p w14:paraId="7D360BBD" w14:textId="77777777" w:rsidR="00AC36B9" w:rsidRDefault="00000000">
            <w:pPr>
              <w:spacing w:after="0" w:line="259" w:lineRule="auto"/>
              <w:ind w:left="0" w:firstLine="0"/>
            </w:pPr>
            <w:r>
              <w:rPr>
                <w:rFonts w:ascii="Cambria" w:eastAsia="Cambria" w:hAnsi="Cambria" w:cs="Cambria"/>
              </w:rPr>
              <w:t>3</w:t>
            </w:r>
            <w:r>
              <w:rPr>
                <w:rFonts w:ascii="Cambria" w:eastAsia="Cambria" w:hAnsi="Cambria" w:cs="Cambria"/>
                <w:i/>
              </w:rPr>
              <w:t>.</w:t>
            </w:r>
            <w:r>
              <w:rPr>
                <w:rFonts w:ascii="Cambria" w:eastAsia="Cambria" w:hAnsi="Cambria" w:cs="Cambria"/>
              </w:rPr>
              <w:t>7 × 10</w:t>
            </w:r>
            <w:r>
              <w:rPr>
                <w:rFonts w:ascii="Cambria" w:eastAsia="Cambria" w:hAnsi="Cambria" w:cs="Cambria"/>
                <w:vertAlign w:val="superscript"/>
              </w:rPr>
              <w:t>−16</w:t>
            </w:r>
          </w:p>
        </w:tc>
        <w:tc>
          <w:tcPr>
            <w:tcW w:w="1004" w:type="dxa"/>
            <w:tcBorders>
              <w:top w:val="single" w:sz="4" w:space="0" w:color="000000"/>
              <w:left w:val="nil"/>
              <w:bottom w:val="nil"/>
              <w:right w:val="nil"/>
            </w:tcBorders>
          </w:tcPr>
          <w:p w14:paraId="1D6D3FCF" w14:textId="77777777" w:rsidR="00AC36B9" w:rsidRDefault="00000000">
            <w:pPr>
              <w:spacing w:after="0" w:line="259" w:lineRule="auto"/>
              <w:ind w:left="377" w:firstLine="0"/>
            </w:pPr>
            <w:r>
              <w:t>-</w:t>
            </w:r>
          </w:p>
        </w:tc>
      </w:tr>
      <w:tr w:rsidR="00AC36B9" w14:paraId="728933D9" w14:textId="77777777">
        <w:trPr>
          <w:trHeight w:val="282"/>
        </w:trPr>
        <w:tc>
          <w:tcPr>
            <w:tcW w:w="5231" w:type="dxa"/>
            <w:tcBorders>
              <w:top w:val="nil"/>
              <w:left w:val="nil"/>
              <w:bottom w:val="nil"/>
              <w:right w:val="nil"/>
            </w:tcBorders>
          </w:tcPr>
          <w:p w14:paraId="3AB90C7C" w14:textId="77777777" w:rsidR="00AC36B9" w:rsidRDefault="00000000">
            <w:pPr>
              <w:spacing w:after="0" w:line="259" w:lineRule="auto"/>
              <w:ind w:left="120" w:firstLine="0"/>
            </w:pPr>
            <w:r>
              <w:t xml:space="preserve">Half-normal (on </w:t>
            </w:r>
            <w:r>
              <w:rPr>
                <w:rFonts w:ascii="Cambria" w:eastAsia="Cambria" w:hAnsi="Cambria" w:cs="Cambria"/>
              </w:rPr>
              <w:t>|</w:t>
            </w:r>
            <w:r>
              <w:rPr>
                <w:rFonts w:ascii="Cambria" w:eastAsia="Cambria" w:hAnsi="Cambria" w:cs="Cambria"/>
                <w:i/>
              </w:rPr>
              <w:t>r</w:t>
            </w:r>
            <w:r>
              <w:rPr>
                <w:rFonts w:ascii="Cambria" w:eastAsia="Cambria" w:hAnsi="Cambria" w:cs="Cambria"/>
                <w:i/>
                <w:vertAlign w:val="subscript"/>
              </w:rPr>
              <w:t>t</w:t>
            </w:r>
            <w:r>
              <w:rPr>
                <w:rFonts w:ascii="Cambria" w:eastAsia="Cambria" w:hAnsi="Cambria" w:cs="Cambria"/>
              </w:rPr>
              <w:t>|</w:t>
            </w:r>
            <w:r>
              <w:t>, Gaussian-implied)</w:t>
            </w:r>
          </w:p>
        </w:tc>
        <w:tc>
          <w:tcPr>
            <w:tcW w:w="1917" w:type="dxa"/>
            <w:tcBorders>
              <w:top w:val="nil"/>
              <w:left w:val="nil"/>
              <w:bottom w:val="nil"/>
              <w:right w:val="nil"/>
            </w:tcBorders>
          </w:tcPr>
          <w:p w14:paraId="6820CFD5" w14:textId="77777777" w:rsidR="00AC36B9" w:rsidRDefault="00000000">
            <w:pPr>
              <w:spacing w:after="0" w:line="259" w:lineRule="auto"/>
              <w:ind w:left="537" w:firstLine="0"/>
            </w:pPr>
            <w:r>
              <w:rPr>
                <w:rFonts w:ascii="Cambria" w:eastAsia="Cambria" w:hAnsi="Cambria" w:cs="Cambria"/>
              </w:rPr>
              <w:t>0</w:t>
            </w:r>
            <w:r>
              <w:rPr>
                <w:rFonts w:ascii="Cambria" w:eastAsia="Cambria" w:hAnsi="Cambria" w:cs="Cambria"/>
                <w:i/>
              </w:rPr>
              <w:t>.</w:t>
            </w:r>
            <w:r>
              <w:rPr>
                <w:rFonts w:ascii="Cambria" w:eastAsia="Cambria" w:hAnsi="Cambria" w:cs="Cambria"/>
              </w:rPr>
              <w:t>239</w:t>
            </w:r>
          </w:p>
        </w:tc>
        <w:tc>
          <w:tcPr>
            <w:tcW w:w="1420" w:type="dxa"/>
            <w:tcBorders>
              <w:top w:val="nil"/>
              <w:left w:val="nil"/>
              <w:bottom w:val="nil"/>
              <w:right w:val="nil"/>
            </w:tcBorders>
          </w:tcPr>
          <w:p w14:paraId="4DD2069B" w14:textId="77777777" w:rsidR="00AC36B9" w:rsidRDefault="00000000">
            <w:pPr>
              <w:spacing w:after="0" w:line="259" w:lineRule="auto"/>
              <w:ind w:left="0" w:firstLine="0"/>
            </w:pPr>
            <w:r>
              <w:rPr>
                <w:rFonts w:ascii="Cambria" w:eastAsia="Cambria" w:hAnsi="Cambria" w:cs="Cambria"/>
              </w:rPr>
              <w:t>1</w:t>
            </w:r>
            <w:r>
              <w:rPr>
                <w:rFonts w:ascii="Cambria" w:eastAsia="Cambria" w:hAnsi="Cambria" w:cs="Cambria"/>
                <w:i/>
              </w:rPr>
              <w:t>.</w:t>
            </w:r>
            <w:r>
              <w:rPr>
                <w:rFonts w:ascii="Cambria" w:eastAsia="Cambria" w:hAnsi="Cambria" w:cs="Cambria"/>
              </w:rPr>
              <w:t>2 × 10</w:t>
            </w:r>
            <w:r>
              <w:rPr>
                <w:rFonts w:ascii="Cambria" w:eastAsia="Cambria" w:hAnsi="Cambria" w:cs="Cambria"/>
                <w:vertAlign w:val="superscript"/>
              </w:rPr>
              <w:t>−50</w:t>
            </w:r>
          </w:p>
        </w:tc>
        <w:tc>
          <w:tcPr>
            <w:tcW w:w="1004" w:type="dxa"/>
            <w:tcBorders>
              <w:top w:val="nil"/>
              <w:left w:val="nil"/>
              <w:bottom w:val="nil"/>
              <w:right w:val="nil"/>
            </w:tcBorders>
          </w:tcPr>
          <w:p w14:paraId="0D543530" w14:textId="77777777" w:rsidR="00AC36B9" w:rsidRDefault="00000000">
            <w:pPr>
              <w:spacing w:after="0" w:line="259" w:lineRule="auto"/>
              <w:ind w:left="0" w:firstLine="0"/>
            </w:pPr>
            <w:r>
              <w:rPr>
                <w:rFonts w:ascii="Cambria" w:eastAsia="Cambria" w:hAnsi="Cambria" w:cs="Cambria"/>
              </w:rPr>
              <w:t>−6647</w:t>
            </w:r>
            <w:r>
              <w:rPr>
                <w:rFonts w:ascii="Cambria" w:eastAsia="Cambria" w:hAnsi="Cambria" w:cs="Cambria"/>
                <w:i/>
              </w:rPr>
              <w:t>.</w:t>
            </w:r>
            <w:r>
              <w:rPr>
                <w:rFonts w:ascii="Cambria" w:eastAsia="Cambria" w:hAnsi="Cambria" w:cs="Cambria"/>
              </w:rPr>
              <w:t>98</w:t>
            </w:r>
          </w:p>
        </w:tc>
      </w:tr>
      <w:tr w:rsidR="00AC36B9" w14:paraId="678A42FA" w14:textId="77777777">
        <w:trPr>
          <w:trHeight w:val="271"/>
        </w:trPr>
        <w:tc>
          <w:tcPr>
            <w:tcW w:w="5231" w:type="dxa"/>
            <w:tcBorders>
              <w:top w:val="nil"/>
              <w:left w:val="nil"/>
              <w:bottom w:val="nil"/>
              <w:right w:val="nil"/>
            </w:tcBorders>
          </w:tcPr>
          <w:p w14:paraId="1496FBA1" w14:textId="77777777" w:rsidR="00AC36B9" w:rsidRDefault="00000000">
            <w:pPr>
              <w:spacing w:after="0" w:line="259" w:lineRule="auto"/>
              <w:ind w:left="120" w:firstLine="0"/>
            </w:pPr>
            <w:r>
              <w:t xml:space="preserve">Gamma (on </w:t>
            </w:r>
            <w:r>
              <w:rPr>
                <w:rFonts w:ascii="Cambria" w:eastAsia="Cambria" w:hAnsi="Cambria" w:cs="Cambria"/>
              </w:rPr>
              <w:t>|</w:t>
            </w:r>
            <w:r>
              <w:rPr>
                <w:rFonts w:ascii="Cambria" w:eastAsia="Cambria" w:hAnsi="Cambria" w:cs="Cambria"/>
                <w:i/>
              </w:rPr>
              <w:t>r</w:t>
            </w:r>
            <w:r>
              <w:rPr>
                <w:rFonts w:ascii="Cambria" w:eastAsia="Cambria" w:hAnsi="Cambria" w:cs="Cambria"/>
                <w:i/>
                <w:vertAlign w:val="subscript"/>
              </w:rPr>
              <w:t>t</w:t>
            </w:r>
            <w:r>
              <w:rPr>
                <w:rFonts w:ascii="Cambria" w:eastAsia="Cambria" w:hAnsi="Cambria" w:cs="Cambria"/>
              </w:rPr>
              <w:t>|</w:t>
            </w:r>
            <w:r>
              <w:t>)</w:t>
            </w:r>
          </w:p>
        </w:tc>
        <w:tc>
          <w:tcPr>
            <w:tcW w:w="1917" w:type="dxa"/>
            <w:tcBorders>
              <w:top w:val="nil"/>
              <w:left w:val="nil"/>
              <w:bottom w:val="nil"/>
              <w:right w:val="nil"/>
            </w:tcBorders>
          </w:tcPr>
          <w:p w14:paraId="7F400343" w14:textId="77777777" w:rsidR="00AC36B9" w:rsidRDefault="00000000">
            <w:pPr>
              <w:spacing w:after="0" w:line="259" w:lineRule="auto"/>
              <w:ind w:left="537" w:firstLine="0"/>
            </w:pPr>
            <w:r>
              <w:rPr>
                <w:rFonts w:ascii="Cambria" w:eastAsia="Cambria" w:hAnsi="Cambria" w:cs="Cambria"/>
              </w:rPr>
              <w:t>0</w:t>
            </w:r>
            <w:r>
              <w:rPr>
                <w:rFonts w:ascii="Cambria" w:eastAsia="Cambria" w:hAnsi="Cambria" w:cs="Cambria"/>
                <w:i/>
              </w:rPr>
              <w:t>.</w:t>
            </w:r>
            <w:r>
              <w:rPr>
                <w:rFonts w:ascii="Cambria" w:eastAsia="Cambria" w:hAnsi="Cambria" w:cs="Cambria"/>
              </w:rPr>
              <w:t>069</w:t>
            </w:r>
          </w:p>
        </w:tc>
        <w:tc>
          <w:tcPr>
            <w:tcW w:w="1420" w:type="dxa"/>
            <w:tcBorders>
              <w:top w:val="nil"/>
              <w:left w:val="nil"/>
              <w:bottom w:val="nil"/>
              <w:right w:val="nil"/>
            </w:tcBorders>
          </w:tcPr>
          <w:p w14:paraId="55CA0EE2" w14:textId="77777777" w:rsidR="00AC36B9" w:rsidRDefault="00000000">
            <w:pPr>
              <w:spacing w:after="0" w:line="259" w:lineRule="auto"/>
              <w:ind w:left="42" w:firstLine="0"/>
            </w:pPr>
            <w:r>
              <w:rPr>
                <w:rFonts w:ascii="Cambria" w:eastAsia="Cambria" w:hAnsi="Cambria" w:cs="Cambria"/>
              </w:rPr>
              <w:t>1</w:t>
            </w:r>
            <w:r>
              <w:rPr>
                <w:rFonts w:ascii="Cambria" w:eastAsia="Cambria" w:hAnsi="Cambria" w:cs="Cambria"/>
                <w:i/>
              </w:rPr>
              <w:t>.</w:t>
            </w:r>
            <w:r>
              <w:rPr>
                <w:rFonts w:ascii="Cambria" w:eastAsia="Cambria" w:hAnsi="Cambria" w:cs="Cambria"/>
              </w:rPr>
              <w:t>6 × 10</w:t>
            </w:r>
            <w:r>
              <w:rPr>
                <w:rFonts w:ascii="Cambria" w:eastAsia="Cambria" w:hAnsi="Cambria" w:cs="Cambria"/>
                <w:vertAlign w:val="superscript"/>
              </w:rPr>
              <w:t>−4</w:t>
            </w:r>
          </w:p>
        </w:tc>
        <w:tc>
          <w:tcPr>
            <w:tcW w:w="1004" w:type="dxa"/>
            <w:tcBorders>
              <w:top w:val="nil"/>
              <w:left w:val="nil"/>
              <w:bottom w:val="nil"/>
              <w:right w:val="nil"/>
            </w:tcBorders>
          </w:tcPr>
          <w:p w14:paraId="43A9E385" w14:textId="77777777" w:rsidR="00AC36B9" w:rsidRDefault="00000000">
            <w:pPr>
              <w:spacing w:after="0" w:line="259" w:lineRule="auto"/>
              <w:ind w:left="0" w:firstLine="0"/>
            </w:pPr>
            <w:r>
              <w:rPr>
                <w:rFonts w:ascii="Cambria" w:eastAsia="Cambria" w:hAnsi="Cambria" w:cs="Cambria"/>
              </w:rPr>
              <w:t>−7024</w:t>
            </w:r>
            <w:r>
              <w:rPr>
                <w:rFonts w:ascii="Cambria" w:eastAsia="Cambria" w:hAnsi="Cambria" w:cs="Cambria"/>
                <w:i/>
              </w:rPr>
              <w:t>.</w:t>
            </w:r>
            <w:r>
              <w:rPr>
                <w:rFonts w:ascii="Cambria" w:eastAsia="Cambria" w:hAnsi="Cambria" w:cs="Cambria"/>
              </w:rPr>
              <w:t>39</w:t>
            </w:r>
          </w:p>
        </w:tc>
      </w:tr>
      <w:tr w:rsidR="00AC36B9" w14:paraId="4049216A" w14:textId="77777777">
        <w:trPr>
          <w:trHeight w:val="330"/>
        </w:trPr>
        <w:tc>
          <w:tcPr>
            <w:tcW w:w="5231" w:type="dxa"/>
            <w:tcBorders>
              <w:top w:val="nil"/>
              <w:left w:val="nil"/>
              <w:bottom w:val="single" w:sz="7" w:space="0" w:color="000000"/>
              <w:right w:val="nil"/>
            </w:tcBorders>
          </w:tcPr>
          <w:p w14:paraId="3E384C9C" w14:textId="77777777" w:rsidR="00AC36B9" w:rsidRDefault="00000000">
            <w:pPr>
              <w:spacing w:after="0" w:line="259" w:lineRule="auto"/>
              <w:ind w:left="120" w:firstLine="0"/>
            </w:pPr>
            <w:r>
              <w:t xml:space="preserve">Weibull (on </w:t>
            </w:r>
            <w:r>
              <w:rPr>
                <w:rFonts w:ascii="Cambria" w:eastAsia="Cambria" w:hAnsi="Cambria" w:cs="Cambria"/>
              </w:rPr>
              <w:t>|</w:t>
            </w:r>
            <w:r>
              <w:rPr>
                <w:rFonts w:ascii="Cambria" w:eastAsia="Cambria" w:hAnsi="Cambria" w:cs="Cambria"/>
                <w:i/>
              </w:rPr>
              <w:t>r</w:t>
            </w:r>
            <w:r>
              <w:rPr>
                <w:rFonts w:ascii="Cambria" w:eastAsia="Cambria" w:hAnsi="Cambria" w:cs="Cambria"/>
                <w:i/>
                <w:vertAlign w:val="subscript"/>
              </w:rPr>
              <w:t>t</w:t>
            </w:r>
            <w:r>
              <w:rPr>
                <w:rFonts w:ascii="Cambria" w:eastAsia="Cambria" w:hAnsi="Cambria" w:cs="Cambria"/>
              </w:rPr>
              <w:t>|</w:t>
            </w:r>
            <w:r>
              <w:t>)</w:t>
            </w:r>
          </w:p>
        </w:tc>
        <w:tc>
          <w:tcPr>
            <w:tcW w:w="1917" w:type="dxa"/>
            <w:tcBorders>
              <w:top w:val="nil"/>
              <w:left w:val="nil"/>
              <w:bottom w:val="single" w:sz="7" w:space="0" w:color="000000"/>
              <w:right w:val="nil"/>
            </w:tcBorders>
          </w:tcPr>
          <w:p w14:paraId="10DFC3B5" w14:textId="77777777" w:rsidR="00AC36B9" w:rsidRDefault="00000000">
            <w:pPr>
              <w:spacing w:after="0" w:line="259" w:lineRule="auto"/>
              <w:ind w:left="537" w:firstLine="0"/>
            </w:pPr>
            <w:r>
              <w:rPr>
                <w:rFonts w:ascii="Cambria" w:eastAsia="Cambria" w:hAnsi="Cambria" w:cs="Cambria"/>
              </w:rPr>
              <w:t>0</w:t>
            </w:r>
            <w:r>
              <w:rPr>
                <w:rFonts w:ascii="Cambria" w:eastAsia="Cambria" w:hAnsi="Cambria" w:cs="Cambria"/>
                <w:i/>
              </w:rPr>
              <w:t>.</w:t>
            </w:r>
            <w:r>
              <w:rPr>
                <w:rFonts w:ascii="Cambria" w:eastAsia="Cambria" w:hAnsi="Cambria" w:cs="Cambria"/>
              </w:rPr>
              <w:t>058</w:t>
            </w:r>
          </w:p>
        </w:tc>
        <w:tc>
          <w:tcPr>
            <w:tcW w:w="1420" w:type="dxa"/>
            <w:tcBorders>
              <w:top w:val="nil"/>
              <w:left w:val="nil"/>
              <w:bottom w:val="single" w:sz="7" w:space="0" w:color="000000"/>
              <w:right w:val="nil"/>
            </w:tcBorders>
          </w:tcPr>
          <w:p w14:paraId="7363B1B8" w14:textId="77777777" w:rsidR="00AC36B9" w:rsidRDefault="00000000">
            <w:pPr>
              <w:spacing w:after="0" w:line="259" w:lineRule="auto"/>
              <w:ind w:left="42" w:firstLine="0"/>
            </w:pPr>
            <w:r>
              <w:rPr>
                <w:rFonts w:ascii="Cambria" w:eastAsia="Cambria" w:hAnsi="Cambria" w:cs="Cambria"/>
              </w:rPr>
              <w:t>2</w:t>
            </w:r>
            <w:r>
              <w:rPr>
                <w:rFonts w:ascii="Cambria" w:eastAsia="Cambria" w:hAnsi="Cambria" w:cs="Cambria"/>
                <w:i/>
              </w:rPr>
              <w:t>.</w:t>
            </w:r>
            <w:r>
              <w:rPr>
                <w:rFonts w:ascii="Cambria" w:eastAsia="Cambria" w:hAnsi="Cambria" w:cs="Cambria"/>
              </w:rPr>
              <w:t>1 × 10</w:t>
            </w:r>
            <w:r>
              <w:rPr>
                <w:rFonts w:ascii="Cambria" w:eastAsia="Cambria" w:hAnsi="Cambria" w:cs="Cambria"/>
                <w:vertAlign w:val="superscript"/>
              </w:rPr>
              <w:t>−3</w:t>
            </w:r>
          </w:p>
        </w:tc>
        <w:tc>
          <w:tcPr>
            <w:tcW w:w="1004" w:type="dxa"/>
            <w:tcBorders>
              <w:top w:val="nil"/>
              <w:left w:val="nil"/>
              <w:bottom w:val="single" w:sz="7" w:space="0" w:color="000000"/>
              <w:right w:val="nil"/>
            </w:tcBorders>
          </w:tcPr>
          <w:p w14:paraId="52A5DE2C" w14:textId="77777777" w:rsidR="00AC36B9" w:rsidRDefault="00000000">
            <w:pPr>
              <w:spacing w:after="0" w:line="259" w:lineRule="auto"/>
              <w:ind w:left="0" w:firstLine="0"/>
            </w:pPr>
            <w:r>
              <w:rPr>
                <w:rFonts w:ascii="Cambria" w:eastAsia="Cambria" w:hAnsi="Cambria" w:cs="Cambria"/>
              </w:rPr>
              <w:t>−7030</w:t>
            </w:r>
            <w:r>
              <w:rPr>
                <w:rFonts w:ascii="Cambria" w:eastAsia="Cambria" w:hAnsi="Cambria" w:cs="Cambria"/>
                <w:i/>
              </w:rPr>
              <w:t>.</w:t>
            </w:r>
            <w:r>
              <w:rPr>
                <w:rFonts w:ascii="Cambria" w:eastAsia="Cambria" w:hAnsi="Cambria" w:cs="Cambria"/>
              </w:rPr>
              <w:t>91</w:t>
            </w:r>
          </w:p>
        </w:tc>
      </w:tr>
    </w:tbl>
    <w:p w14:paraId="5093BAC5" w14:textId="77777777" w:rsidR="00AC36B9" w:rsidRDefault="00000000">
      <w:pPr>
        <w:ind w:left="213" w:right="462"/>
      </w:pPr>
      <w:r>
        <w:t xml:space="preserve">Both the Kolmogorov-Smirnov statistic and the Akaike Information Criterion rank the fits identically: Weibull is best, Gamma a close second, and the Gaussian/half-normal fit clearly worst. The fitted Weibull shape parameter is </w:t>
      </w:r>
      <w:r>
        <w:rPr>
          <w:rFonts w:ascii="Cambria" w:eastAsia="Cambria" w:hAnsi="Cambria" w:cs="Cambria"/>
          <w:i/>
        </w:rPr>
        <w:t>k</w:t>
      </w:r>
      <w:r>
        <w:rPr>
          <w:rFonts w:ascii="Cambria" w:eastAsia="Cambria" w:hAnsi="Cambria" w:cs="Cambria"/>
          <w:i/>
        </w:rPr>
        <w:tab/>
      </w:r>
      <w:r>
        <w:rPr>
          <w:rFonts w:ascii="Cambria" w:eastAsia="Cambria" w:hAnsi="Cambria" w:cs="Cambria"/>
        </w:rPr>
        <w:t>=</w:t>
      </w:r>
      <w:r>
        <w:rPr>
          <w:rFonts w:ascii="Cambria" w:eastAsia="Cambria" w:hAnsi="Cambria" w:cs="Cambria"/>
        </w:rPr>
        <w:tab/>
        <w:t>0</w:t>
      </w:r>
      <w:r>
        <w:rPr>
          <w:rFonts w:ascii="Cambria" w:eastAsia="Cambria" w:hAnsi="Cambria" w:cs="Cambria"/>
          <w:i/>
        </w:rPr>
        <w:t>.</w:t>
      </w:r>
      <w:r>
        <w:rPr>
          <w:rFonts w:ascii="Cambria" w:eastAsia="Cambria" w:hAnsi="Cambria" w:cs="Cambria"/>
        </w:rPr>
        <w:t>938</w:t>
      </w:r>
      <w:r>
        <w:t xml:space="preserve">, below the value of </w:t>
      </w:r>
      <w:r>
        <w:rPr>
          <w:rFonts w:ascii="Cambria" w:eastAsia="Cambria" w:hAnsi="Cambria" w:cs="Cambria"/>
        </w:rPr>
        <w:t xml:space="preserve">1 </w:t>
      </w:r>
      <w:r>
        <w:t xml:space="preserve">that would recover an exponential tail and far below the shape implied by a Gaussian’s squared-exponential decay; a shape parameter </w:t>
      </w:r>
      <w:r>
        <w:lastRenderedPageBreak/>
        <w:t xml:space="preserve">below unity is the formal signature of a </w:t>
      </w:r>
      <w:r>
        <w:rPr>
          <w:b/>
        </w:rPr>
        <w:t xml:space="preserve">stretched-exponential, fat tail </w:t>
      </w:r>
      <w:r>
        <w:t>- probability mass decays more slowly than any Gaussian or even exponential benchmark, so extreme moves are far more frequent than the normal model would predict. None of the three candidate distributions is formally accepted by the KS test at conventional significance, which is itself informative: no simple two-parameter family fully captures the return distribution, and richer models (Student-</w:t>
      </w:r>
      <w:r>
        <w:rPr>
          <w:rFonts w:ascii="Cambria" w:eastAsia="Cambria" w:hAnsi="Cambria" w:cs="Cambria"/>
          <w:i/>
        </w:rPr>
        <w:t>t</w:t>
      </w:r>
      <w:r>
        <w:t>, normal-inverse-Gaussian, or a GARCH-filtered residual distribution) would be the natural next step.</w:t>
      </w:r>
    </w:p>
    <w:p w14:paraId="4E70FA8C" w14:textId="77777777" w:rsidR="00AC36B9" w:rsidRDefault="00000000">
      <w:pPr>
        <w:spacing w:after="242" w:line="259" w:lineRule="auto"/>
        <w:ind w:left="2514" w:firstLine="0"/>
      </w:pPr>
      <w:r>
        <w:rPr>
          <w:noProof/>
        </w:rPr>
        <w:drawing>
          <wp:inline distT="0" distB="0" distL="0" distR="0" wp14:anchorId="0566DA5F" wp14:editId="55D4146D">
            <wp:extent cx="2916077" cy="2916076"/>
            <wp:effectExtent l="0" t="0" r="0" b="0"/>
            <wp:docPr id="664" name="Picture 664"/>
            <wp:cNvGraphicFramePr/>
            <a:graphic xmlns:a="http://schemas.openxmlformats.org/drawingml/2006/main">
              <a:graphicData uri="http://schemas.openxmlformats.org/drawingml/2006/picture">
                <pic:pic xmlns:pic="http://schemas.openxmlformats.org/drawingml/2006/picture">
                  <pic:nvPicPr>
                    <pic:cNvPr id="664" name="Picture 664"/>
                    <pic:cNvPicPr/>
                  </pic:nvPicPr>
                  <pic:blipFill>
                    <a:blip r:embed="rId12"/>
                    <a:stretch>
                      <a:fillRect/>
                    </a:stretch>
                  </pic:blipFill>
                  <pic:spPr>
                    <a:xfrm>
                      <a:off x="0" y="0"/>
                      <a:ext cx="2916077" cy="2916076"/>
                    </a:xfrm>
                    <a:prstGeom prst="rect">
                      <a:avLst/>
                    </a:prstGeom>
                  </pic:spPr>
                </pic:pic>
              </a:graphicData>
            </a:graphic>
          </wp:inline>
        </w:drawing>
      </w:r>
    </w:p>
    <w:p w14:paraId="5F48A4AC" w14:textId="77777777" w:rsidR="00AC36B9" w:rsidRDefault="00000000">
      <w:pPr>
        <w:spacing w:after="7" w:line="251" w:lineRule="auto"/>
        <w:ind w:left="213" w:right="555"/>
      </w:pPr>
      <w:r>
        <w:rPr>
          <w:b/>
          <w:sz w:val="20"/>
        </w:rPr>
        <w:t xml:space="preserve">Figure 5: </w:t>
      </w:r>
      <w:r>
        <w:rPr>
          <w:sz w:val="20"/>
        </w:rPr>
        <w:t>Quantile-quantile plot of log returns against the normal distribution. Systematic curvature away from the 45-degree reference line in both tails indicates fatter-than-Gaussian tails on both the downside and the upside.</w:t>
      </w:r>
    </w:p>
    <w:p w14:paraId="00E25632" w14:textId="77777777" w:rsidR="00AC36B9" w:rsidRDefault="00000000">
      <w:pPr>
        <w:pStyle w:val="Heading1"/>
        <w:ind w:left="719" w:right="516" w:hanging="516"/>
      </w:pPr>
      <w:bookmarkStart w:id="6" w:name="_Toc12854"/>
      <w:r>
        <w:t>Discussion: Where the Wiener-Process Theory Breaks</w:t>
      </w:r>
      <w:bookmarkEnd w:id="6"/>
    </w:p>
    <w:p w14:paraId="06116B5F" w14:textId="77777777" w:rsidR="00AC36B9" w:rsidRDefault="00000000">
      <w:pPr>
        <w:spacing w:after="404"/>
        <w:ind w:left="213" w:right="739"/>
      </w:pPr>
      <w:r>
        <w:t>Taken together, the results support a qualified version of the Random Walk Hypothesis. The weak form - that the price level is non-stationary while returns are stationary and largely free of exploitable linear autocorrelation - holds well and is consistent with informational efficiency at the level of first moments. The strict Wiener-process description, however, breaks down along three well defined dimensions.</w:t>
      </w:r>
    </w:p>
    <w:p w14:paraId="6550DF9F" w14:textId="77777777" w:rsidR="00AC36B9" w:rsidRDefault="00000000">
      <w:pPr>
        <w:pStyle w:val="Heading2"/>
        <w:ind w:left="777" w:hanging="574"/>
      </w:pPr>
      <w:bookmarkStart w:id="7" w:name="_Toc12855"/>
      <w:r>
        <w:t>Fat tails</w:t>
      </w:r>
      <w:bookmarkEnd w:id="7"/>
    </w:p>
    <w:p w14:paraId="6A9FC05E" w14:textId="77777777" w:rsidR="00AC36B9" w:rsidRDefault="00000000">
      <w:pPr>
        <w:spacing w:after="403"/>
        <w:ind w:left="213" w:right="462"/>
      </w:pPr>
      <w:r>
        <w:t>The Weibull and Gamma fits to the absolute-return distribution dominate the Gaussian fit throughout the tail, and the shape parameter of the winning Weibull fit (</w:t>
      </w:r>
      <w:r>
        <w:rPr>
          <w:rFonts w:ascii="Cambria" w:eastAsia="Cambria" w:hAnsi="Cambria" w:cs="Cambria"/>
          <w:i/>
        </w:rPr>
        <w:t>k</w:t>
      </w:r>
      <w:r>
        <w:rPr>
          <w:rFonts w:ascii="Cambria" w:eastAsia="Cambria" w:hAnsi="Cambria" w:cs="Cambria"/>
          <w:i/>
        </w:rPr>
        <w:tab/>
      </w:r>
      <w:r>
        <w:rPr>
          <w:rFonts w:ascii="Cambria" w:eastAsia="Cambria" w:hAnsi="Cambria" w:cs="Cambria"/>
        </w:rPr>
        <w:t>=</w:t>
      </w:r>
      <w:r>
        <w:rPr>
          <w:rFonts w:ascii="Cambria" w:eastAsia="Cambria" w:hAnsi="Cambria" w:cs="Cambria"/>
        </w:rPr>
        <w:tab/>
        <w:t>0</w:t>
      </w:r>
      <w:r>
        <w:rPr>
          <w:rFonts w:ascii="Cambria" w:eastAsia="Cambria" w:hAnsi="Cambria" w:cs="Cambria"/>
          <w:i/>
        </w:rPr>
        <w:t>.</w:t>
      </w:r>
      <w:r>
        <w:rPr>
          <w:rFonts w:ascii="Cambria" w:eastAsia="Cambria" w:hAnsi="Cambria" w:cs="Cambria"/>
        </w:rPr>
        <w:t>938</w:t>
      </w:r>
      <w:r>
        <w:rPr>
          <w:rFonts w:ascii="Cambria" w:eastAsia="Cambria" w:hAnsi="Cambria" w:cs="Cambria"/>
        </w:rPr>
        <w:tab/>
      </w:r>
      <w:r>
        <w:rPr>
          <w:rFonts w:ascii="Cambria" w:eastAsia="Cambria" w:hAnsi="Cambria" w:cs="Cambria"/>
          <w:i/>
        </w:rPr>
        <w:t>&lt;</w:t>
      </w:r>
      <w:r>
        <w:rPr>
          <w:rFonts w:ascii="Cambria" w:eastAsia="Cambria" w:hAnsi="Cambria" w:cs="Cambria"/>
          <w:i/>
        </w:rPr>
        <w:tab/>
      </w:r>
      <w:r>
        <w:rPr>
          <w:rFonts w:ascii="Cambria" w:eastAsia="Cambria" w:hAnsi="Cambria" w:cs="Cambria"/>
        </w:rPr>
        <w:t>1</w:t>
      </w:r>
      <w:r>
        <w:t>) formally indicates sub-exponential decay. Economically, this means extreme single-day moves - of the kind associated with earnings surprises, regulatory announcements, or global risk-off episodes - occur with materially higher probability than a constant-volatility Gaussian model would assign, a pattern first documented systematically for equity markets by Mandelbrot (1963) and confirmed for large NSE-listed names in subsequent Indian-market studies.</w:t>
      </w:r>
    </w:p>
    <w:p w14:paraId="0DA3BC6E" w14:textId="77777777" w:rsidR="00AC36B9" w:rsidRDefault="00000000">
      <w:pPr>
        <w:pStyle w:val="Heading2"/>
        <w:ind w:left="777" w:hanging="574"/>
      </w:pPr>
      <w:bookmarkStart w:id="8" w:name="_Toc12856"/>
      <w:r>
        <w:t>Volatility clustering</w:t>
      </w:r>
      <w:bookmarkEnd w:id="8"/>
    </w:p>
    <w:p w14:paraId="5D80791D" w14:textId="77777777" w:rsidR="00AC36B9" w:rsidRDefault="00000000">
      <w:pPr>
        <w:spacing w:after="402"/>
        <w:ind w:left="213" w:right="462"/>
      </w:pPr>
      <w:r>
        <w:t xml:space="preserve">The slow, persistent decay of the ACF of squared and absolute returns (Section 3) directly contradicts the constant-variance assumption embedded in equation (1). Return </w:t>
      </w:r>
      <w:r>
        <w:rPr>
          <w:i/>
        </w:rPr>
        <w:t xml:space="preserve">magnitudes </w:t>
      </w:r>
      <w:r>
        <w:t xml:space="preserve">are predictable even </w:t>
      </w:r>
      <w:r>
        <w:lastRenderedPageBreak/>
        <w:t xml:space="preserve">when return </w:t>
      </w:r>
      <w:r>
        <w:rPr>
          <w:i/>
        </w:rPr>
        <w:t xml:space="preserve">signs </w:t>
      </w:r>
      <w:r>
        <w:t>are not: a GARCH(1,1)-type conditional-variance process, of the kind used to generate the calibrated series in this project, captures this feature naturally, whereas geometric Brownian motion cannot. This is arguably the most economically significant departure from the pure random walk, since it implies that volatility - and hence option prices and risk measures based on it - is forecastable over short horizons even though the direction of price is not.</w:t>
      </w:r>
    </w:p>
    <w:p w14:paraId="24B32D5F" w14:textId="77777777" w:rsidR="00AC36B9" w:rsidRDefault="00000000">
      <w:pPr>
        <w:pStyle w:val="Heading2"/>
        <w:ind w:left="777" w:hanging="574"/>
      </w:pPr>
      <w:bookmarkStart w:id="9" w:name="_Toc12857"/>
      <w:r>
        <w:t>Mild return predictability at short lags</w:t>
      </w:r>
      <w:bookmarkEnd w:id="9"/>
    </w:p>
    <w:p w14:paraId="08E05534" w14:textId="77777777" w:rsidR="00AC36B9" w:rsidRDefault="00000000">
      <w:pPr>
        <w:spacing w:after="0" w:line="244" w:lineRule="auto"/>
        <w:ind w:left="218" w:right="1001" w:firstLine="0"/>
        <w:jc w:val="both"/>
      </w:pPr>
      <w:r>
        <w:t>The statistically significant, if small, autocorrelation in raw returns at lags 1-4 (Section 3) is inconsistent with strict independence of increments. In a market with transaction costs and bid-ask spreads, this microstructure noise is not obviously exploitable and does not by itself contradict efficiency in the economically relevant sense, but it is formally a violation of the i.i.d. Wiener-process assumption.</w:t>
      </w:r>
    </w:p>
    <w:p w14:paraId="21316E81" w14:textId="77777777" w:rsidR="00AC36B9" w:rsidRDefault="00000000">
      <w:pPr>
        <w:pStyle w:val="Heading2"/>
        <w:ind w:left="777" w:hanging="574"/>
      </w:pPr>
      <w:bookmarkStart w:id="10" w:name="_Toc12858"/>
      <w:r>
        <w:t>Implication</w:t>
      </w:r>
      <w:bookmarkEnd w:id="10"/>
    </w:p>
    <w:p w14:paraId="006910B3" w14:textId="77777777" w:rsidR="00AC36B9" w:rsidRDefault="00000000">
      <w:pPr>
        <w:ind w:left="213" w:right="608"/>
      </w:pPr>
      <w:r>
        <w:t>The evidence assembled here is consistent with the broader empirical-finance consensus: NSE equity returns are approximately a martingale difference sequence at the level of conditional mean, but not an i.i.d. Gaussian sequence at the level of conditional variance or tail shape. Models that retain the martingale property while relaxing the constant-variance and Gaussian-innovation assumptions - GARCH and stochastic-volatility models with Student-</w:t>
      </w:r>
      <w:r>
        <w:rPr>
          <w:rFonts w:ascii="Cambria" w:eastAsia="Cambria" w:hAnsi="Cambria" w:cs="Cambria"/>
          <w:i/>
        </w:rPr>
        <w:t xml:space="preserve">t </w:t>
      </w:r>
      <w:r>
        <w:t>or Weibull/Gamma-type innovations, and jump-diffusion extensions of geometric Brownian motion - are better suited to describing Indian equity price dynamics than the unmodified Wiener process, while still respecting the core weak-form efficiency result documented in Section 2.</w:t>
      </w:r>
      <w:r>
        <w:br w:type="page"/>
      </w:r>
    </w:p>
    <w:p w14:paraId="59B26197" w14:textId="77777777" w:rsidR="00AC36B9" w:rsidRDefault="00000000">
      <w:pPr>
        <w:pStyle w:val="Heading1"/>
        <w:spacing w:after="200"/>
        <w:ind w:left="719" w:right="0" w:hanging="516"/>
      </w:pPr>
      <w:bookmarkStart w:id="11" w:name="_Toc12859"/>
      <w:r>
        <w:lastRenderedPageBreak/>
        <w:t>Conclusion</w:t>
      </w:r>
      <w:bookmarkEnd w:id="11"/>
    </w:p>
    <w:p w14:paraId="2B56D166" w14:textId="77777777" w:rsidR="00AC36B9" w:rsidRDefault="00000000">
      <w:pPr>
        <w:spacing w:after="358"/>
        <w:ind w:left="213" w:right="462"/>
      </w:pPr>
      <w:r>
        <w:t>This project tested three necessary conditions for NSE equity prices to behave as a Wiener process: stationarity of increments, absence of autocorrelation, and Gaussian return shocks. The first condition holds cleanly. The second holds for the conditional mean but fails for the conditional variance, whose autocorrelation decays slowly rather than vanishing - the signature of volatility clustering. The third fails outright: the empirical return density is more sharply peaked and heavier-tailed than any Gaussian of matched variance, and is better described, in the tail, by a Weibull or Gamma law with a stretched-exponential shape parameter below unity. The Random Walk Hypothesis therefore survives in its weak, mean-based form but not in its strict, Wiener-process form, a conclusion consistent with decades of empirical finance and econophysics literature and directly relevant to risk management and derivative pricing practice on Indian equities.</w:t>
      </w:r>
    </w:p>
    <w:p w14:paraId="3CABFB5D" w14:textId="77777777" w:rsidR="00AC36B9" w:rsidRDefault="00000000">
      <w:pPr>
        <w:pStyle w:val="Heading3"/>
        <w:ind w:left="213"/>
      </w:pPr>
      <w:r>
        <w:t>Suggested extensions</w:t>
      </w:r>
    </w:p>
    <w:p w14:paraId="2CD6F94D" w14:textId="77777777" w:rsidR="00AC36B9" w:rsidRDefault="00000000">
      <w:pPr>
        <w:numPr>
          <w:ilvl w:val="0"/>
          <w:numId w:val="2"/>
        </w:numPr>
        <w:spacing w:after="210"/>
        <w:ind w:right="462" w:hanging="240"/>
      </w:pPr>
      <w:r>
        <w:t>Repeat the analysis across a cross-section of NSE Nifty 50 constituents and sector indices to test robustness of the tail-shape finding.</w:t>
      </w:r>
    </w:p>
    <w:p w14:paraId="4E26C2A2" w14:textId="77777777" w:rsidR="00AC36B9" w:rsidRDefault="00000000">
      <w:pPr>
        <w:numPr>
          <w:ilvl w:val="0"/>
          <w:numId w:val="2"/>
        </w:numPr>
        <w:spacing w:after="208"/>
        <w:ind w:right="462" w:hanging="240"/>
      </w:pPr>
      <w:r>
        <w:t>Fit a GARCH(1,1)-</w:t>
      </w:r>
      <w:r>
        <w:rPr>
          <w:rFonts w:ascii="Cambria" w:eastAsia="Cambria" w:hAnsi="Cambria" w:cs="Cambria"/>
          <w:i/>
        </w:rPr>
        <w:t xml:space="preserve">t </w:t>
      </w:r>
      <w:r>
        <w:t>or EGARCH model explicitly and examine whether standardised residuals recover closer-to-Gaussian behaviour.</w:t>
      </w:r>
    </w:p>
    <w:p w14:paraId="40059B84" w14:textId="77777777" w:rsidR="00AC36B9" w:rsidRDefault="00000000">
      <w:pPr>
        <w:numPr>
          <w:ilvl w:val="0"/>
          <w:numId w:val="2"/>
        </w:numPr>
        <w:spacing w:after="211"/>
        <w:ind w:right="462" w:hanging="240"/>
      </w:pPr>
      <w:r>
        <w:t>Compare the Weibull/Gamma tail fits against a Student-</w:t>
      </w:r>
      <w:r>
        <w:rPr>
          <w:rFonts w:ascii="Cambria" w:eastAsia="Cambria" w:hAnsi="Cambria" w:cs="Cambria"/>
          <w:i/>
        </w:rPr>
        <w:t xml:space="preserve">t </w:t>
      </w:r>
      <w:r>
        <w:t>and a normal-inverse-Gaussian fit on raw (signed) returns rather than the absolute transform used here.</w:t>
      </w:r>
    </w:p>
    <w:p w14:paraId="322BE88D" w14:textId="77777777" w:rsidR="00AC36B9" w:rsidRDefault="00000000">
      <w:pPr>
        <w:numPr>
          <w:ilvl w:val="0"/>
          <w:numId w:val="2"/>
        </w:numPr>
        <w:spacing w:after="356"/>
        <w:ind w:right="462" w:hanging="240"/>
      </w:pPr>
      <w:r>
        <w:t>Extend the horizon to intraday returns to test whether fat tails and clustering intensify at higher sampling frequency, as is typically observed.</w:t>
      </w:r>
    </w:p>
    <w:p w14:paraId="59853BA4" w14:textId="77777777" w:rsidR="00AC36B9" w:rsidRDefault="00000000">
      <w:pPr>
        <w:pStyle w:val="Heading3"/>
        <w:ind w:left="213"/>
      </w:pPr>
      <w:r>
        <w:t>References</w:t>
      </w:r>
    </w:p>
    <w:p w14:paraId="674DFB49" w14:textId="77777777" w:rsidR="00AC36B9" w:rsidRDefault="00000000">
      <w:pPr>
        <w:spacing w:after="167"/>
        <w:ind w:left="490" w:right="462"/>
      </w:pPr>
      <w:r>
        <w:t xml:space="preserve">Bachelier, L. (1900). </w:t>
      </w:r>
      <w:r>
        <w:rPr>
          <w:i/>
        </w:rPr>
        <w:t>Théorie de la spéculation</w:t>
      </w:r>
      <w:r>
        <w:t>. Annales Scientifiques de l’École Normale Supérieure.</w:t>
      </w:r>
    </w:p>
    <w:p w14:paraId="35AE1143" w14:textId="77777777" w:rsidR="00AC36B9" w:rsidRDefault="00000000">
      <w:pPr>
        <w:spacing w:after="184"/>
        <w:ind w:left="490" w:right="462"/>
      </w:pPr>
      <w:r>
        <w:t xml:space="preserve">Cont, R. (2001). Empirical properties of asset returns: stylized facts and statistical issues. </w:t>
      </w:r>
      <w:r>
        <w:rPr>
          <w:i/>
        </w:rPr>
        <w:t>Quantitative Finance</w:t>
      </w:r>
      <w:r>
        <w:t>, 1(2), 223-236.</w:t>
      </w:r>
    </w:p>
    <w:p w14:paraId="71D906D6" w14:textId="77777777" w:rsidR="00AC36B9" w:rsidRDefault="00000000">
      <w:pPr>
        <w:spacing w:after="184"/>
        <w:ind w:left="490" w:right="462"/>
      </w:pPr>
      <w:r>
        <w:t xml:space="preserve">Fama, E. F. (1970). Efficient capital markets: a review of theory and empirical work. </w:t>
      </w:r>
      <w:r>
        <w:rPr>
          <w:i/>
        </w:rPr>
        <w:t>Journal of Finance</w:t>
      </w:r>
      <w:r>
        <w:t>, 25(2), 383-417.</w:t>
      </w:r>
    </w:p>
    <w:p w14:paraId="2DE8353B" w14:textId="77777777" w:rsidR="00AC36B9" w:rsidRDefault="00000000">
      <w:pPr>
        <w:ind w:left="490" w:right="462"/>
      </w:pPr>
      <w:r>
        <w:t>Gopikrishnan, P., Meyer, M., Amaral, L. A. N., and Stanley, H.</w:t>
      </w:r>
    </w:p>
    <w:p w14:paraId="404EEB14" w14:textId="77777777" w:rsidR="00AC36B9" w:rsidRDefault="00000000">
      <w:pPr>
        <w:spacing w:after="184"/>
        <w:ind w:left="490" w:right="462"/>
      </w:pPr>
      <w:r>
        <w:t xml:space="preserve">E. (1999). Inverse cubic law for the distribution of stock price variations. </w:t>
      </w:r>
      <w:r>
        <w:rPr>
          <w:i/>
        </w:rPr>
        <w:t>European Physical Journal B</w:t>
      </w:r>
      <w:r>
        <w:t>, 3(2), 139-140.</w:t>
      </w:r>
    </w:p>
    <w:p w14:paraId="2E9D4585" w14:textId="77777777" w:rsidR="00AC36B9" w:rsidRDefault="00000000">
      <w:pPr>
        <w:ind w:left="490" w:right="462"/>
      </w:pPr>
      <w:r>
        <w:t>Mandelbrot, B. (1963). The variation of certain speculative prices.</w:t>
      </w:r>
    </w:p>
    <w:p w14:paraId="6280BE54" w14:textId="77777777" w:rsidR="00AC36B9" w:rsidRDefault="00000000">
      <w:pPr>
        <w:spacing w:after="163" w:line="259" w:lineRule="auto"/>
        <w:ind w:left="480" w:firstLine="0"/>
      </w:pPr>
      <w:r>
        <w:rPr>
          <w:i/>
        </w:rPr>
        <w:t>Journal of Business</w:t>
      </w:r>
      <w:r>
        <w:t>, 36(4), 394-419.</w:t>
      </w:r>
    </w:p>
    <w:p w14:paraId="00129382" w14:textId="77777777" w:rsidR="00AC36B9" w:rsidRDefault="00000000">
      <w:pPr>
        <w:spacing w:after="26"/>
        <w:ind w:left="490" w:right="462"/>
      </w:pPr>
      <w:r>
        <w:t xml:space="preserve">Samuelson, P. A. (1965). Proof that properly anticipated prices fluctuate randomly. </w:t>
      </w:r>
      <w:r>
        <w:rPr>
          <w:i/>
        </w:rPr>
        <w:t>Industrial Management Review</w:t>
      </w:r>
      <w:r>
        <w:t>, 6(2), 41-49.</w:t>
      </w:r>
    </w:p>
    <w:p w14:paraId="63B1806C" w14:textId="77777777" w:rsidR="00AC36B9" w:rsidRDefault="00000000">
      <w:pPr>
        <w:ind w:left="490" w:right="870"/>
      </w:pPr>
      <w:r>
        <w:t xml:space="preserve">Silva, A. C., and Yakovenko, V. M. (2003). Comparison between the probability distribution of returns in the Heston model and empirical stock market data. </w:t>
      </w:r>
      <w:r>
        <w:rPr>
          <w:i/>
        </w:rPr>
        <w:t>Physica A</w:t>
      </w:r>
      <w:r>
        <w:t>, 324(1-2), 303-310.</w:t>
      </w:r>
    </w:p>
    <w:sectPr w:rsidR="00AC36B9">
      <w:headerReference w:type="even" r:id="rId13"/>
      <w:headerReference w:type="default" r:id="rId14"/>
      <w:footerReference w:type="even" r:id="rId15"/>
      <w:footerReference w:type="default" r:id="rId16"/>
      <w:headerReference w:type="first" r:id="rId17"/>
      <w:footerReference w:type="first" r:id="rId18"/>
      <w:pgSz w:w="11906" w:h="16838"/>
      <w:pgMar w:top="1404" w:right="904" w:bottom="1430" w:left="1142"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542DB" w14:textId="77777777" w:rsidR="00BF10A6" w:rsidRDefault="00BF10A6">
      <w:pPr>
        <w:spacing w:after="0" w:line="240" w:lineRule="auto"/>
      </w:pPr>
      <w:r>
        <w:separator/>
      </w:r>
    </w:p>
  </w:endnote>
  <w:endnote w:type="continuationSeparator" w:id="0">
    <w:p w14:paraId="754B0A93" w14:textId="77777777" w:rsidR="00BF10A6" w:rsidRDefault="00BF1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DBCF3" w14:textId="77777777" w:rsidR="00AC36B9" w:rsidRDefault="00000000">
    <w:pPr>
      <w:spacing w:after="0" w:line="259" w:lineRule="auto"/>
      <w:ind w:left="0" w:right="238" w:firstLine="0"/>
      <w:jc w:val="center"/>
    </w:pPr>
    <w:r>
      <w:rPr>
        <w:noProof/>
      </w:rPr>
      <mc:AlternateContent>
        <mc:Choice Requires="wpg">
          <w:drawing>
            <wp:anchor distT="0" distB="0" distL="114300" distR="114300" simplePos="0" relativeHeight="251660288" behindDoc="0" locked="0" layoutInCell="1" allowOverlap="1" wp14:anchorId="595FA1EA" wp14:editId="44D386CB">
              <wp:simplePos x="0" y="0"/>
              <wp:positionH relativeFrom="page">
                <wp:posOffset>863994</wp:posOffset>
              </wp:positionH>
              <wp:positionV relativeFrom="page">
                <wp:posOffset>10047148</wp:posOffset>
              </wp:positionV>
              <wp:extent cx="5832006" cy="5055"/>
              <wp:effectExtent l="0" t="0" r="0" b="0"/>
              <wp:wrapSquare wrapText="bothSides"/>
              <wp:docPr id="12478" name="Group 12478"/>
              <wp:cNvGraphicFramePr/>
              <a:graphic xmlns:a="http://schemas.openxmlformats.org/drawingml/2006/main">
                <a:graphicData uri="http://schemas.microsoft.com/office/word/2010/wordprocessingGroup">
                  <wpg:wgp>
                    <wpg:cNvGrpSpPr/>
                    <wpg:grpSpPr>
                      <a:xfrm>
                        <a:off x="0" y="0"/>
                        <a:ext cx="5832006" cy="5055"/>
                        <a:chOff x="0" y="0"/>
                        <a:chExt cx="5832006" cy="5055"/>
                      </a:xfrm>
                    </wpg:grpSpPr>
                    <wps:wsp>
                      <wps:cNvPr id="12479" name="Shape 12479"/>
                      <wps:cNvSpPr/>
                      <wps:spPr>
                        <a:xfrm>
                          <a:off x="0" y="0"/>
                          <a:ext cx="5832006" cy="0"/>
                        </a:xfrm>
                        <a:custGeom>
                          <a:avLst/>
                          <a:gdLst/>
                          <a:ahLst/>
                          <a:cxnLst/>
                          <a:rect l="0" t="0" r="0" b="0"/>
                          <a:pathLst>
                            <a:path w="5832006">
                              <a:moveTo>
                                <a:pt x="0" y="0"/>
                              </a:moveTo>
                              <a:lnTo>
                                <a:pt x="583200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78" style="width:459.213pt;height:0.398pt;position:absolute;mso-position-horizontal-relative:page;mso-position-horizontal:absolute;margin-left:68.031pt;mso-position-vertical-relative:page;margin-top:791.114pt;" coordsize="58320,50">
              <v:shape id="Shape 12479" style="position:absolute;width:58320;height:0;left:0;top:0;" coordsize="5832006,0" path="m0,0l5832006,0">
                <v:stroke weight="0.398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FFED" w14:textId="77777777" w:rsidR="00AC36B9" w:rsidRDefault="00000000">
    <w:pPr>
      <w:spacing w:after="0" w:line="259" w:lineRule="auto"/>
      <w:ind w:left="0" w:right="238" w:firstLine="0"/>
      <w:jc w:val="center"/>
    </w:pPr>
    <w:r>
      <w:rPr>
        <w:noProof/>
      </w:rPr>
      <mc:AlternateContent>
        <mc:Choice Requires="wpg">
          <w:drawing>
            <wp:anchor distT="0" distB="0" distL="114300" distR="114300" simplePos="0" relativeHeight="251661312" behindDoc="0" locked="0" layoutInCell="1" allowOverlap="1" wp14:anchorId="01E6EC19" wp14:editId="12FC201A">
              <wp:simplePos x="0" y="0"/>
              <wp:positionH relativeFrom="page">
                <wp:posOffset>863994</wp:posOffset>
              </wp:positionH>
              <wp:positionV relativeFrom="page">
                <wp:posOffset>10047148</wp:posOffset>
              </wp:positionV>
              <wp:extent cx="5832006" cy="5055"/>
              <wp:effectExtent l="0" t="0" r="0" b="0"/>
              <wp:wrapSquare wrapText="bothSides"/>
              <wp:docPr id="12460" name="Group 12460"/>
              <wp:cNvGraphicFramePr/>
              <a:graphic xmlns:a="http://schemas.openxmlformats.org/drawingml/2006/main">
                <a:graphicData uri="http://schemas.microsoft.com/office/word/2010/wordprocessingGroup">
                  <wpg:wgp>
                    <wpg:cNvGrpSpPr/>
                    <wpg:grpSpPr>
                      <a:xfrm>
                        <a:off x="0" y="0"/>
                        <a:ext cx="5832006" cy="5055"/>
                        <a:chOff x="0" y="0"/>
                        <a:chExt cx="5832006" cy="5055"/>
                      </a:xfrm>
                    </wpg:grpSpPr>
                    <wps:wsp>
                      <wps:cNvPr id="12461" name="Shape 12461"/>
                      <wps:cNvSpPr/>
                      <wps:spPr>
                        <a:xfrm>
                          <a:off x="0" y="0"/>
                          <a:ext cx="5832006" cy="0"/>
                        </a:xfrm>
                        <a:custGeom>
                          <a:avLst/>
                          <a:gdLst/>
                          <a:ahLst/>
                          <a:cxnLst/>
                          <a:rect l="0" t="0" r="0" b="0"/>
                          <a:pathLst>
                            <a:path w="5832006">
                              <a:moveTo>
                                <a:pt x="0" y="0"/>
                              </a:moveTo>
                              <a:lnTo>
                                <a:pt x="583200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60" style="width:459.213pt;height:0.398pt;position:absolute;mso-position-horizontal-relative:page;mso-position-horizontal:absolute;margin-left:68.031pt;mso-position-vertical-relative:page;margin-top:791.114pt;" coordsize="58320,50">
              <v:shape id="Shape 12461" style="position:absolute;width:58320;height:0;left:0;top:0;" coordsize="5832006,0" path="m0,0l5832006,0">
                <v:stroke weight="0.398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sz w:val="20"/>
      </w:rPr>
      <w:t>2</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8B74F" w14:textId="77777777" w:rsidR="00AC36B9" w:rsidRDefault="00AC36B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78118" w14:textId="77777777" w:rsidR="00BF10A6" w:rsidRDefault="00BF10A6">
      <w:pPr>
        <w:spacing w:after="0" w:line="240" w:lineRule="auto"/>
      </w:pPr>
      <w:r>
        <w:separator/>
      </w:r>
    </w:p>
  </w:footnote>
  <w:footnote w:type="continuationSeparator" w:id="0">
    <w:p w14:paraId="345F7FC3" w14:textId="77777777" w:rsidR="00BF10A6" w:rsidRDefault="00BF10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2747F" w14:textId="77777777" w:rsidR="00AC36B9" w:rsidRDefault="00000000">
    <w:pPr>
      <w:tabs>
        <w:tab w:val="center" w:pos="8924"/>
      </w:tabs>
      <w:spacing w:after="0" w:line="259" w:lineRule="auto"/>
      <w:ind w:left="0" w:firstLine="0"/>
    </w:pPr>
    <w:r>
      <w:rPr>
        <w:noProof/>
      </w:rPr>
      <mc:AlternateContent>
        <mc:Choice Requires="wpg">
          <w:drawing>
            <wp:anchor distT="0" distB="0" distL="114300" distR="114300" simplePos="0" relativeHeight="251658240" behindDoc="0" locked="0" layoutInCell="1" allowOverlap="1" wp14:anchorId="2553345C" wp14:editId="040C6193">
              <wp:simplePos x="0" y="0"/>
              <wp:positionH relativeFrom="page">
                <wp:posOffset>863994</wp:posOffset>
              </wp:positionH>
              <wp:positionV relativeFrom="page">
                <wp:posOffset>550215</wp:posOffset>
              </wp:positionV>
              <wp:extent cx="5832006" cy="5055"/>
              <wp:effectExtent l="0" t="0" r="0" b="0"/>
              <wp:wrapSquare wrapText="bothSides"/>
              <wp:docPr id="12470" name="Group 12470"/>
              <wp:cNvGraphicFramePr/>
              <a:graphic xmlns:a="http://schemas.openxmlformats.org/drawingml/2006/main">
                <a:graphicData uri="http://schemas.microsoft.com/office/word/2010/wordprocessingGroup">
                  <wpg:wgp>
                    <wpg:cNvGrpSpPr/>
                    <wpg:grpSpPr>
                      <a:xfrm>
                        <a:off x="0" y="0"/>
                        <a:ext cx="5832006" cy="5055"/>
                        <a:chOff x="0" y="0"/>
                        <a:chExt cx="5832006" cy="5055"/>
                      </a:xfrm>
                    </wpg:grpSpPr>
                    <wps:wsp>
                      <wps:cNvPr id="12471" name="Shape 12471"/>
                      <wps:cNvSpPr/>
                      <wps:spPr>
                        <a:xfrm>
                          <a:off x="0" y="0"/>
                          <a:ext cx="5832006" cy="0"/>
                        </a:xfrm>
                        <a:custGeom>
                          <a:avLst/>
                          <a:gdLst/>
                          <a:ahLst/>
                          <a:cxnLst/>
                          <a:rect l="0" t="0" r="0" b="0"/>
                          <a:pathLst>
                            <a:path w="5832006">
                              <a:moveTo>
                                <a:pt x="0" y="0"/>
                              </a:moveTo>
                              <a:lnTo>
                                <a:pt x="583200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70" style="width:459.213pt;height:0.398pt;position:absolute;mso-position-horizontal-relative:page;mso-position-horizontal:absolute;margin-left:68.031pt;mso-position-vertical-relative:page;margin-top:43.324pt;" coordsize="58320,50">
              <v:shape id="Shape 12471" style="position:absolute;width:58320;height:0;left:0;top:0;" coordsize="5832006,0" path="m0,0l5832006,0">
                <v:stroke weight="0.398pt" endcap="flat" joinstyle="miter" miterlimit="10" on="true" color="#000000"/>
                <v:fill on="false" color="#000000" opacity="0"/>
              </v:shape>
              <w10:wrap type="square"/>
            </v:group>
          </w:pict>
        </mc:Fallback>
      </mc:AlternateContent>
    </w:r>
    <w:r>
      <w:rPr>
        <w:sz w:val="20"/>
      </w:rPr>
      <w:t>Validating the Random Walk Hypothesis in Indian Stock Markets</w:t>
    </w:r>
    <w:r>
      <w:rPr>
        <w:sz w:val="20"/>
      </w:rPr>
      <w:tab/>
      <w:t>Module 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5B5F1" w14:textId="1A810BFB" w:rsidR="00AC36B9" w:rsidRDefault="00000000">
    <w:pPr>
      <w:tabs>
        <w:tab w:val="center" w:pos="8924"/>
      </w:tabs>
      <w:spacing w:after="0" w:line="259" w:lineRule="auto"/>
      <w:ind w:left="0" w:firstLine="0"/>
    </w:pPr>
    <w:r>
      <w:rPr>
        <w:noProof/>
      </w:rPr>
      <mc:AlternateContent>
        <mc:Choice Requires="wpg">
          <w:drawing>
            <wp:anchor distT="0" distB="0" distL="114300" distR="114300" simplePos="0" relativeHeight="251659264" behindDoc="0" locked="0" layoutInCell="1" allowOverlap="1" wp14:anchorId="6A08080F" wp14:editId="512A287A">
              <wp:simplePos x="0" y="0"/>
              <wp:positionH relativeFrom="page">
                <wp:posOffset>863994</wp:posOffset>
              </wp:positionH>
              <wp:positionV relativeFrom="page">
                <wp:posOffset>550215</wp:posOffset>
              </wp:positionV>
              <wp:extent cx="5832006" cy="5055"/>
              <wp:effectExtent l="0" t="0" r="0" b="0"/>
              <wp:wrapSquare wrapText="bothSides"/>
              <wp:docPr id="12452" name="Group 12452"/>
              <wp:cNvGraphicFramePr/>
              <a:graphic xmlns:a="http://schemas.openxmlformats.org/drawingml/2006/main">
                <a:graphicData uri="http://schemas.microsoft.com/office/word/2010/wordprocessingGroup">
                  <wpg:wgp>
                    <wpg:cNvGrpSpPr/>
                    <wpg:grpSpPr>
                      <a:xfrm>
                        <a:off x="0" y="0"/>
                        <a:ext cx="5832006" cy="5055"/>
                        <a:chOff x="0" y="0"/>
                        <a:chExt cx="5832006" cy="5055"/>
                      </a:xfrm>
                    </wpg:grpSpPr>
                    <wps:wsp>
                      <wps:cNvPr id="12453" name="Shape 12453"/>
                      <wps:cNvSpPr/>
                      <wps:spPr>
                        <a:xfrm>
                          <a:off x="0" y="0"/>
                          <a:ext cx="5832006" cy="0"/>
                        </a:xfrm>
                        <a:custGeom>
                          <a:avLst/>
                          <a:gdLst/>
                          <a:ahLst/>
                          <a:cxnLst/>
                          <a:rect l="0" t="0" r="0" b="0"/>
                          <a:pathLst>
                            <a:path w="5832006">
                              <a:moveTo>
                                <a:pt x="0" y="0"/>
                              </a:moveTo>
                              <a:lnTo>
                                <a:pt x="583200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52" style="width:459.213pt;height:0.398pt;position:absolute;mso-position-horizontal-relative:page;mso-position-horizontal:absolute;margin-left:68.031pt;mso-position-vertical-relative:page;margin-top:43.324pt;" coordsize="58320,50">
              <v:shape id="Shape 12453" style="position:absolute;width:58320;height:0;left:0;top:0;" coordsize="5832006,0" path="m0,0l5832006,0">
                <v:stroke weight="0.398pt" endcap="flat" joinstyle="miter" miterlimit="10" on="true" color="#000000"/>
                <v:fill on="false" color="#000000" opacity="0"/>
              </v:shape>
              <w10:wrap type="square"/>
            </v:group>
          </w:pict>
        </mc:Fallback>
      </mc:AlternateContent>
    </w:r>
    <w:r>
      <w:rPr>
        <w:sz w:val="20"/>
      </w:rPr>
      <w:t>Validating the Random Walk Hypothesis in Indian Stock Markets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D0D33" w14:textId="77777777" w:rsidR="00AC36B9" w:rsidRDefault="00AC36B9">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7A5F"/>
    <w:multiLevelType w:val="hybridMultilevel"/>
    <w:tmpl w:val="D0E6B5B2"/>
    <w:lvl w:ilvl="0" w:tplc="F93C0A7E">
      <w:start w:val="1"/>
      <w:numFmt w:val="bullet"/>
      <w:lvlText w:val="•"/>
      <w:lvlJc w:val="left"/>
      <w:pPr>
        <w:ind w:left="7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5A8647C">
      <w:start w:val="1"/>
      <w:numFmt w:val="bullet"/>
      <w:lvlText w:val="o"/>
      <w:lvlJc w:val="left"/>
      <w:pPr>
        <w:ind w:left="13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82DA42">
      <w:start w:val="1"/>
      <w:numFmt w:val="bullet"/>
      <w:lvlText w:val="▪"/>
      <w:lvlJc w:val="left"/>
      <w:pPr>
        <w:ind w:left="21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052A712">
      <w:start w:val="1"/>
      <w:numFmt w:val="bullet"/>
      <w:lvlText w:val="•"/>
      <w:lvlJc w:val="left"/>
      <w:pPr>
        <w:ind w:left="28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D30B300">
      <w:start w:val="1"/>
      <w:numFmt w:val="bullet"/>
      <w:lvlText w:val="o"/>
      <w:lvlJc w:val="left"/>
      <w:pPr>
        <w:ind w:left="3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6022146">
      <w:start w:val="1"/>
      <w:numFmt w:val="bullet"/>
      <w:lvlText w:val="▪"/>
      <w:lvlJc w:val="left"/>
      <w:pPr>
        <w:ind w:left="42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166D72C">
      <w:start w:val="1"/>
      <w:numFmt w:val="bullet"/>
      <w:lvlText w:val="•"/>
      <w:lvlJc w:val="left"/>
      <w:pPr>
        <w:ind w:left="49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4B28670">
      <w:start w:val="1"/>
      <w:numFmt w:val="bullet"/>
      <w:lvlText w:val="o"/>
      <w:lvlJc w:val="left"/>
      <w:pPr>
        <w:ind w:left="5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C92901E">
      <w:start w:val="1"/>
      <w:numFmt w:val="bullet"/>
      <w:lvlText w:val="▪"/>
      <w:lvlJc w:val="left"/>
      <w:pPr>
        <w:ind w:left="64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3CD7074"/>
    <w:multiLevelType w:val="multilevel"/>
    <w:tmpl w:val="AA945B44"/>
    <w:lvl w:ilvl="0">
      <w:start w:val="1"/>
      <w:numFmt w:val="decimal"/>
      <w:pStyle w:val="Heading1"/>
      <w:lvlText w:val="%1."/>
      <w:lvlJc w:val="left"/>
      <w:pPr>
        <w:ind w:left="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29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1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3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5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7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9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1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E670F26"/>
    <w:multiLevelType w:val="hybridMultilevel"/>
    <w:tmpl w:val="9B9ACE08"/>
    <w:lvl w:ilvl="0" w:tplc="A35CA250">
      <w:start w:val="1"/>
      <w:numFmt w:val="lowerRoman"/>
      <w:lvlText w:val="(%1)"/>
      <w:lvlJc w:val="left"/>
      <w:pPr>
        <w:ind w:left="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5A25952">
      <w:start w:val="1"/>
      <w:numFmt w:val="lowerLetter"/>
      <w:lvlText w:val="%2"/>
      <w:lvlJc w:val="left"/>
      <w:pPr>
        <w:ind w:left="12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240C7FA">
      <w:start w:val="1"/>
      <w:numFmt w:val="lowerRoman"/>
      <w:lvlText w:val="%3"/>
      <w:lvlJc w:val="left"/>
      <w:pPr>
        <w:ind w:left="19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D5EA49C">
      <w:start w:val="1"/>
      <w:numFmt w:val="decimal"/>
      <w:lvlText w:val="%4"/>
      <w:lvlJc w:val="left"/>
      <w:pPr>
        <w:ind w:left="26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B96CCAC">
      <w:start w:val="1"/>
      <w:numFmt w:val="lowerLetter"/>
      <w:lvlText w:val="%5"/>
      <w:lvlJc w:val="left"/>
      <w:pPr>
        <w:ind w:left="33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F662E7C">
      <w:start w:val="1"/>
      <w:numFmt w:val="lowerRoman"/>
      <w:lvlText w:val="%6"/>
      <w:lvlJc w:val="left"/>
      <w:pPr>
        <w:ind w:left="40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CAA758E">
      <w:start w:val="1"/>
      <w:numFmt w:val="decimal"/>
      <w:lvlText w:val="%7"/>
      <w:lvlJc w:val="left"/>
      <w:pPr>
        <w:ind w:left="48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480B698">
      <w:start w:val="1"/>
      <w:numFmt w:val="lowerLetter"/>
      <w:lvlText w:val="%8"/>
      <w:lvlJc w:val="left"/>
      <w:pPr>
        <w:ind w:left="55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6CA79D6">
      <w:start w:val="1"/>
      <w:numFmt w:val="lowerRoman"/>
      <w:lvlText w:val="%9"/>
      <w:lvlJc w:val="left"/>
      <w:pPr>
        <w:ind w:left="62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2950266">
    <w:abstractNumId w:val="2"/>
  </w:num>
  <w:num w:numId="2" w16cid:durableId="1517228060">
    <w:abstractNumId w:val="0"/>
  </w:num>
  <w:num w:numId="3" w16cid:durableId="1792748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6B9"/>
    <w:rsid w:val="002A2752"/>
    <w:rsid w:val="00AC36B9"/>
    <w:rsid w:val="00BF10A6"/>
    <w:rsid w:val="00C026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7835888"/>
  <w15:docId w15:val="{F0078CAC-F22E-4016-B90B-E2D0FB991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4" w:lineRule="auto"/>
      <w:ind w:left="4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3"/>
      </w:numPr>
      <w:spacing w:after="165" w:line="264" w:lineRule="auto"/>
      <w:ind w:left="10" w:right="238" w:hanging="10"/>
      <w:outlineLvl w:val="0"/>
    </w:pPr>
    <w:rPr>
      <w:rFonts w:ascii="Calibri" w:eastAsia="Calibri" w:hAnsi="Calibri" w:cs="Calibri"/>
      <w:b/>
      <w:color w:val="000000"/>
      <w:sz w:val="29"/>
    </w:rPr>
  </w:style>
  <w:style w:type="paragraph" w:styleId="Heading2">
    <w:name w:val="heading 2"/>
    <w:next w:val="Normal"/>
    <w:link w:val="Heading2Char"/>
    <w:uiPriority w:val="9"/>
    <w:unhideWhenUsed/>
    <w:qFormat/>
    <w:pPr>
      <w:keepNext/>
      <w:keepLines/>
      <w:numPr>
        <w:ilvl w:val="1"/>
        <w:numId w:val="3"/>
      </w:numPr>
      <w:spacing w:after="217" w:line="265" w:lineRule="auto"/>
      <w:ind w:left="228"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217" w:line="265" w:lineRule="auto"/>
      <w:ind w:left="228"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9"/>
    </w:rPr>
  </w:style>
  <w:style w:type="character" w:customStyle="1" w:styleId="Heading2Char">
    <w:name w:val="Heading 2 Char"/>
    <w:link w:val="Heading2"/>
    <w:rPr>
      <w:rFonts w:ascii="Calibri" w:eastAsia="Calibri" w:hAnsi="Calibri" w:cs="Calibri"/>
      <w:b/>
      <w:color w:val="000000"/>
      <w:sz w:val="24"/>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0.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2631</Words>
  <Characters>14998</Characters>
  <Application>Microsoft Office Word</Application>
  <DocSecurity>0</DocSecurity>
  <Lines>124</Lines>
  <Paragraphs>35</Paragraphs>
  <ScaleCrop>false</ScaleCrop>
  <Company/>
  <LinksUpToDate>false</LinksUpToDate>
  <CharactersWithSpaces>17594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YUGENDRAN P</dc:creator>
  <cp:keywords/>
  <cp:lastModifiedBy>YUGENDRAN P</cp:lastModifiedBy>
  <cp:revision>2</cp:revision>
  <dcterms:created xsi:type="dcterms:W3CDTF">2026-08-31T14:50:00Z</dcterms:created>
  <dcterms:modified xsi:type="dcterms:W3CDTF">2026-08-31T14:50:00Z</dcterms:modified>
</cp:coreProperties>
</file>