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>ECONOMIC FREEDOM  /  MODEL NOTE</w:t>
      </w:r>
    </w:p>
    <w:p>
      <w:pPr>
        <w:spacing w:before="160"/>
      </w:pPr>
      <w:r>
        <w:rPr>
          <w:rFonts w:ascii="Microsoft YaHei" w:hAnsi="Microsoft YaHei" w:eastAsia="Microsoft YaHei"/>
          <w:b/>
          <w:i w:val="0"/>
          <w:color w:val="0D5744"/>
          <w:sz w:val="60"/>
        </w:rPr>
        <w:t>经济自由本金模型</w:t>
      </w:r>
    </w:p>
    <w:p>
      <w:r>
        <w:rPr>
          <w:rFonts w:ascii="Microsoft YaHei" w:hAnsi="Microsoft YaHei" w:eastAsia="Microsoft YaHei"/>
          <w:b w:val="0"/>
          <w:i w:val="0"/>
          <w:color w:val="17211B"/>
          <w:sz w:val="34"/>
        </w:rPr>
        <w:t>一个人 / 一个家庭，究竟至少需要多少本金，</w:t>
        <w:br/>
        <w:t>才可以说“完全经济自由”？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color w:val="65706A"/>
          <w:sz w:val="22"/>
        </w:rPr>
        <w:t>本报告不给一个保证，而是给一个可审计的概率答案。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fill="0D5744"/>
          </w:tcPr>
          <w:p>
            <w:pPr>
              <w:spacing w:before="200" w:after="200"/>
            </w:pPr>
            <w:r>
              <w:rPr>
                <w:rFonts w:ascii="Microsoft YaHei" w:hAnsi="Microsoft YaHei" w:eastAsia="Microsoft YaHei"/>
                <w:b w:val="0"/>
                <w:i w:val="0"/>
                <w:color w:val="F8F2E6"/>
                <w:sz w:val="20"/>
              </w:rPr>
              <w:t>2026 年 10 月 · v1.0 · 数据截至 2026-10-25 · 人民币 / 今天购买力</w:t>
            </w:r>
          </w:p>
        </w:tc>
      </w:tr>
    </w:tbl>
    <w:p/>
    <w:p>
      <w:pPr>
        <w:spacing w:after="100" w:before="0" w:line="348" w:lineRule="auto"/>
      </w:pPr>
      <w:r>
        <w:rPr>
          <w:rFonts w:ascii="Microsoft YaHei" w:hAnsi="Microsoft YaHei" w:eastAsia="Microsoft YaHei"/>
          <w:b w:val="0"/>
          <w:i w:val="0"/>
          <w:color w:val="65706A"/>
          <w:sz w:val="21"/>
        </w:rPr>
        <w:t>你会看到：一套多维参数体系；每一类参数背后的真实数据与假设；蒙特卡洛、通胀分项、社保养老金、医疗与长期护理、长寿与黑天鹅的处理方式；一个默认家庭的完整结果；以及这个模型明确做不到什么。</w:t>
      </w:r>
    </w:p>
    <w:p>
      <w:pPr>
        <w:spacing w:before="600"/>
      </w:pPr>
      <w:r>
        <w:rPr>
          <w:rFonts w:ascii="Microsoft YaHei" w:hAnsi="Microsoft YaHei" w:eastAsia="Microsoft YaHei"/>
          <w:b w:val="0"/>
          <w:i w:val="0"/>
          <w:color w:val="65706A"/>
          <w:sz w:val="18"/>
        </w:rPr>
        <w:t>配套交付：经济自由计算器.html（交互） · 经济自由测算表.xlsx（参数与确定性测算）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目录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0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先给结论：默认家庭的数字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1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什么叫“经济自由”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2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为什么 4% 法则不够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3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模型结构：一条现金流，六种风险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4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参数体系：一张完整的表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5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真实数据：哪些是事实，哪些是假设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6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默认案例：从参数到结果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7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敏感性与压力测试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8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怎么用这个计算器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9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模型边界与诚实限制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10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验证与审计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附录  </w:t>
      </w:r>
      <w:r>
        <w:rPr>
          <w:rFonts w:ascii="Microsoft YaHei" w:hAnsi="Microsoft YaHei" w:eastAsia="Microsoft YaHei"/>
          <w:b w:val="0"/>
          <w:i w:val="0"/>
          <w:color w:val="17211B"/>
          <w:sz w:val="22"/>
        </w:rPr>
        <w:t>公式、名词表、参考链接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0. 先给结论：默认家庭的数字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先说明：下面的数字不是“你应该准备的钱”，而是“在默认假设下，这个模型算出来的钱”。你的年龄、城市、支出、房产、社保、子女、风险偏好一变，数字就会变。计算器的价值不在于给出一个固定答案，而在于让你看见每个假设值多少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fill="DCEBE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0D5744"/>
                <w:sz w:val="22"/>
              </w:rPr>
              <w:t>默认案例（计算器初始参数）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9"/>
              </w:rPr>
              <w:t>40 岁男性 + 38 岁女性，一个 6 岁孩子；二线城市；当前可投资净资产 300 万元；自住房 300 万元、房贷 100 万元（3.2%，剩 15 年）；核心生活 1.4 万元/月，医疗 1,000 元/月，商业保险 1.2 万元/年；现在停止工作；规划到 100 岁；目标置信度 90%。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c>
          <w:tcPr>
            <w:tcW w:type="dxa" w:w="260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94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结果</w:t>
            </w:r>
          </w:p>
        </w:tc>
        <w:tc>
          <w:tcPr>
            <w:tcW w:type="dxa" w:w="362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90% 置信度所需本金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约 1,862 万元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今天币值；不含自住房</w:t>
            </w:r>
          </w:p>
        </w:tc>
      </w:tr>
      <w:tr>
        <w:tc>
          <w:tcPr>
            <w:tcW w:type="dxa" w:w="260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80% / 95% / 99% 区间</w:t>
            </w:r>
          </w:p>
        </w:tc>
        <w:tc>
          <w:tcPr>
            <w:tcW w:type="dxa" w:w="294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1,482 / 2,268 / 3,414 万元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置信度越高，所需本金越高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当前资产覆盖率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16.1%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300 万 / 1,862 万</w:t>
            </w:r>
          </w:p>
        </w:tc>
      </w:tr>
      <w:tr>
        <w:tc>
          <w:tcPr>
            <w:tcW w:type="dxa" w:w="260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当前资产成功率</w:t>
            </w:r>
          </w:p>
        </w:tc>
        <w:tc>
          <w:tcPr>
            <w:tcW w:type="dxa" w:w="294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0%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现在停止工作、按当前计划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4% 法则对照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700 万元，成功率 15.6%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4% 不是保证，尤其不是 60 年期限的保证</w:t>
            </w:r>
          </w:p>
        </w:tc>
      </w:tr>
      <w:tr>
        <w:tc>
          <w:tcPr>
            <w:tcW w:type="dxa" w:w="260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首年总支出</w:t>
            </w:r>
          </w:p>
        </w:tc>
        <w:tc>
          <w:tcPr>
            <w:tcW w:type="dxa" w:w="294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28.0 万元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核心 15.1 + 医疗 1.2 + 保险 1.2 + 房贷/居住 8.5 + 子女 2.0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首年总支出 / 目标本金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1.51%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不是“安全提取率”，因为含临时支出</w:t>
            </w:r>
          </w:p>
        </w:tc>
      </w:tr>
      <w:tr>
        <w:tc>
          <w:tcPr>
            <w:tcW w:type="dxa" w:w="260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当前资产可支撑核心生活费</w:t>
            </w:r>
          </w:p>
        </w:tc>
        <w:tc>
          <w:tcPr>
            <w:tcW w:type="dxa" w:w="294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0 元/月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90% 置信度；对比目标 14,000 元/月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社保养老金（今天币值）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你 5,772 + 配偶 3,846 元/月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按公式估算，63/58 岁起领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这个结果最容易被误读的地方是：“1,862 万是不是太多了？”答案取决于你问的是哪个问题。如果你问的是“按 4% 法则，25 倍年支出够不够”，700 万就够了；如果你问的是“40 岁停止工作、没有工资、要覆盖 60 年、医疗和护理、且希望 90% 的人生剧本不破产”，700 万在本模型下只有 15.6% 的成功率。两者不是谁对谁错，而是期限、市场、税费和风险定义不同。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另一个反直觉的数字是“当前资产在 90% 置信度下连固定支出都无法覆盖”。原因是 300 万元不仅要覆盖当下，还要在没有工资的情况下把 40–63 岁这段“养老金空窗期”桥接过去；在 90% 置信度下，它很快会被房贷、保险、子女和医疗消耗掉。这个数字不是对生活水平的判断，而是对“现在停止工作”的现金流判断。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1. 什么叫“经济自由”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“经济自由”在中文语境里经常被混成三个不同的东西。把它们分开，后面的计算才有意义。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328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238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典型问题</w:t>
            </w:r>
          </w:p>
        </w:tc>
        <w:tc>
          <w:tcPr>
            <w:tcW w:type="dxa" w:w="1814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本模型是否覆盖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财务安全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有一笔应急金，能应对失业、疾病、短期冲击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6–12 个月支出够不够？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部分覆盖（现金缓冲未单独建模）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财务独立</w:t>
            </w:r>
          </w:p>
        </w:tc>
        <w:tc>
          <w:tcPr>
            <w:tcW w:type="dxa" w:w="328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投资资产产生的现金流能覆盖基本生活</w:t>
            </w:r>
          </w:p>
        </w:tc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不工作也能付房租和吃饭吗？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覆盖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经济自由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不靠工作收入，能长期维持自己选择的生活水平，并覆盖家人、医疗、长寿与黑天鹅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一辈子够不够？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本模型的目标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本报告把“完全经济自由”翻译成一个可计算的定义：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fill="FBF5E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0D5744"/>
                <w:sz w:val="22"/>
              </w:rPr>
              <w:t>模型定义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9"/>
              </w:rPr>
              <w:t>在不再有工资收入的前提下，投资资产在死亡前从未为负，且死亡时资产不低于你设定的遗产目标；在大量模拟人生中，这个事件发生的比例，就是“成功率”。你选择的成功率目标，就是“置信度”。</w:t>
            </w:r>
          </w:p>
        </w:tc>
      </w:tr>
    </w:tbl>
    <w:p>
      <w:pPr>
        <w:spacing w:after="4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所以，“完全”在数学上不是 100%。任何有限本金都无法保证 100%，因为收益、通胀、寿命、医疗、政策和黑天鹅都有尾部。模型能做的，是把“完全”变成“90%、95%、99% 的模拟人生不破产”，并把代价标出来。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还有一个关键口径：本金指“可投资净资产”，不含自住房。自住房是消费品兼居住保障，只有在卖出/换小房/出租时才会变成现金流。模型允许你设定卖房年龄，扣除贷款和交易税费后把净所得计入组合，同时增加卖房后的租金支出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2. 为什么 4% 法则不够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4% 法则来自 Bengen 1994 年的研究：美国 1926–1992 年的数据，50/50 股债组合，30 年退休期，每年按通胀调整提取，最差历史情景下首年提取率约 4.15%。它是一个伟大的经验法则，但它有三个隐含前提：美国市场、30 年、没有税费和费率。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一个 40 岁的人，规划到 100 岁，期限是 60 年，不是 30 年。期限翻倍，安全提取率通常要下降；再叠加中国当前的低利率（2026-10 十年期国债 1.64%、一年期定存约 0.95%）、医疗/护理的超额通胀、以及“退休后前几年遇到大跌”的序列风险，4% 就不是一个保守数字了。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c>
          <w:tcPr>
            <w:tcW w:type="dxa" w:w="238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3175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4% 法则</w:t>
            </w:r>
          </w:p>
        </w:tc>
        <w:tc>
          <w:tcPr>
            <w:tcW w:type="dxa" w:w="362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本模型（默认案例）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期限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30 年（美国历史回测）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60 年（40→100 岁）</w:t>
            </w:r>
          </w:p>
        </w:tc>
      </w:tr>
      <w:tr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市场</w:t>
            </w:r>
          </w:p>
        </w:tc>
        <w:tc>
          <w:tcPr>
            <w:tcW w:type="dxa" w:w="3175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美国股债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中国 + 全球组合，人民币视角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税费/费率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通常未扣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费后几何收益已扣 0.6% 费率 + 0.2% 税拖累</w:t>
            </w:r>
          </w:p>
        </w:tc>
      </w:tr>
      <w:tr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医疗/护理</w:t>
            </w:r>
          </w:p>
        </w:tc>
        <w:tc>
          <w:tcPr>
            <w:tcW w:type="dxa" w:w="3175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未单独建模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医疗大额冲击 + 长期护理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长寿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固定 30 年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随机寿命，可活到 105</w:t>
            </w:r>
          </w:p>
        </w:tc>
      </w:tr>
      <w:tr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结果</w:t>
            </w:r>
          </w:p>
        </w:tc>
        <w:tc>
          <w:tcPr>
            <w:tcW w:type="dxa" w:w="3175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700 万（25×首年支出）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1,862 万（90% 置信度）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在本模型下的成功率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15.6%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89.3%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这不是说 4% 法则“错了”，而是说它回答的不是这个问题。把 4% 当成默认值，等于把美国 30 年的历史经验，直接搬到中国 60 年的个人人生上。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3. 模型结构：一条现金流，六种风险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3.1 时间轴与成功定义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模型以“年”为步长，所有金额先换算成今天的购买力。每年年初发生支出、收入、缴费和卖房等现金流，剩余资产按当年收益增长。用公式表示：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fill="DCEBE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0D5744"/>
                <w:sz w:val="22"/>
              </w:rPr>
              <w:t>核心递推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9"/>
              </w:rPr>
              <w:t>W_t = ( W_{t-1} + I_t − E_t + S_t ) × (1 + r_t )</w:t>
              <w:br/>
              <w:t>其中 W 是可投资资产，I 是养老金/租金/半退休收入，E 是总支出，S 是卖房净所得，r 是当年组合收益。</w:t>
              <w:br/>
              <w:t>成功 = 对所有 t（死亡之前）W_t ≥ 0，且 W_死亡 ≥ 遗产目标 × CPI 指数。</w:t>
            </w:r>
          </w:p>
        </w:tc>
      </w:tr>
    </w:tbl>
    <w:p>
      <w:pPr>
        <w:spacing w:after="4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这个递推看起来简单，难点在 E_t 和 r_t：支出不是一个大数，而是分项、不同通胀、不同年龄结构；收益不是常数，而是有波动、有尾部、有序列风险。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3.2 支出：分项、分通胀、分年龄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支出被拆成七类，每类有自己的通胀或增长路径：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支出项</w:t>
            </w:r>
          </w:p>
        </w:tc>
        <w:tc>
          <w:tcPr>
            <w:tcW w:type="dxa" w:w="3515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通胀/增长</w:t>
            </w:r>
          </w:p>
        </w:tc>
        <w:tc>
          <w:tcPr>
            <w:tcW w:type="dxa" w:w="170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核心生活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1.4 万元/月（餐饮、居住/物业、交通、衣着、娱乐、人情、其他）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CPI，退休后 ×0.9，75/85/95 岁再乘年龄曲线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不含医疗、保险、房贷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日常医疗</w:t>
            </w:r>
          </w:p>
        </w:tc>
        <w:tc>
          <w:tcPr>
            <w:tcW w:type="dxa" w:w="3515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1,000 元/月</w:t>
            </w:r>
          </w:p>
        </w:tc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CPI + 3%</w:t>
            </w:r>
          </w:p>
        </w:tc>
        <w:tc>
          <w:tcPr>
            <w:tcW w:type="dxa" w:w="170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体检、门诊、牙科、常用药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商业保险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1.2 万元/年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CPI + 3% 实际增长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全家合计；随年龄上升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房贷</w:t>
            </w:r>
          </w:p>
        </w:tc>
        <w:tc>
          <w:tcPr>
            <w:tcW w:type="dxa" w:w="3515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100 万，3.2%，15 年</w:t>
            </w:r>
          </w:p>
        </w:tc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名义固定，等额本息</w:t>
            </w:r>
          </w:p>
        </w:tc>
        <w:tc>
          <w:tcPr>
            <w:tcW w:type="dxa" w:w="170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还清后停止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子女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6 岁，公立路线，2 万元/年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CPI + 3% 教育通胀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支持到 22 岁；婚房支持另计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大件</w:t>
            </w:r>
          </w:p>
        </w:tc>
        <w:tc>
          <w:tcPr>
            <w:tcW w:type="dxa" w:w="3515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换车 18 万/8 年、装修 20 万/15 年、旅行 6 万/5 年</w:t>
            </w:r>
          </w:p>
        </w:tc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CPI</w:t>
            </w:r>
          </w:p>
        </w:tc>
        <w:tc>
          <w:tcPr>
            <w:tcW w:type="dxa" w:w="170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按年龄触发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父母/护理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默认 0；护理 8,000 元/月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CPI / 医疗通胀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可选；护理按发生率触发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里有一个容易犯的错误：把“家庭总支出”直接填进核心生活，同时又把房贷、保险、子女、医疗单独加一遍。计算器的输入说明明确要求核心生活“不含医疗、保险、房贷”，子女成本按“增量成本”估算，避免重复计算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3.3 收入与社保：养老金不是“拍脑袋”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默认按国发〔2005〕38 号的公式估算：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fill="DCEBE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0D5744"/>
                <w:sz w:val="22"/>
              </w:rPr>
              <w:t>养老金公式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9"/>
              </w:rPr>
              <w:t>基础养老金 =（退休时当地上年度在岗职工月平均工资 + 本人指数化月平均缴费工资）÷ 2 × 缴费年限 × 1%</w:t>
              <w:br/>
              <w:t>个人账户养老金 = 个人账户储存额 ÷ 计发月数（63 岁为 117 个月）</w:t>
              <w:br/>
              <w:t>月养老金 = 基础养老金 + 个人账户养老金</w:t>
            </w:r>
          </w:p>
        </w:tc>
      </w:tr>
    </w:tbl>
    <w:p>
      <w:pPr>
        <w:spacing w:after="4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模型还做了三件现实中很重要、但常被忽略的处理：第一，个人账户按记账利率增长到退休；第二，社平工资按名义增长、再折算成今天币值；第三，缴费年限低于最低年限时养老金为 0。默认最低缴费年限为 20 年，因为 2030 年起最低年限将从 15 年逐步提高到 20 年。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养老金开始年龄默认 63 岁（男性）和 58 岁（女性），这是渐进式延迟退休后的近似值。实际退休年龄会因出生年月、性别、岗位、弹性退休选择而不同；计算器允许你直接改。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3.4 投资：几何收益、波动与黑天鹅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很多人把“预期收益 5%”直接当成每年复利 5%。这在有波动的组合里是高估。模型把两者分开：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c>
          <w:tcPr>
            <w:tcW w:type="dxa" w:w="192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概念</w:t>
            </w:r>
          </w:p>
        </w:tc>
        <w:tc>
          <w:tcPr>
            <w:tcW w:type="dxa" w:w="4876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204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默认值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费后几何收益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长期复利意义上的年化；用于确定性路径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3.84%</w:t>
            </w:r>
          </w:p>
        </w:tc>
      </w:tr>
      <w:tr>
        <w:tc>
          <w:tcPr>
            <w:tcW w:type="dxa" w:w="19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算术均值</w:t>
            </w:r>
          </w:p>
        </w:tc>
        <w:tc>
          <w:tcPr>
            <w:tcW w:type="dxa" w:w="4876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单年期望；用于蒙特卡洛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4.36%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波动率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组合年收益的标准差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10.2%</w:t>
            </w:r>
          </w:p>
        </w:tc>
      </w:tr>
      <w:tr>
        <w:tc>
          <w:tcPr>
            <w:tcW w:type="dxa" w:w="19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实际收益</w:t>
            </w:r>
          </w:p>
        </w:tc>
        <w:tc>
          <w:tcPr>
            <w:tcW w:type="dxa" w:w="4876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几何收益 − 通胀中枢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约 1.84%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尾部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t 分布（df=5）+ 每年 3% 概率的组合暴跌 −20%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可调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资产配置默认 30% A 股、30% 全球股票、30% 中国债券、10% 现金。组合收益由各资产预期收益、波动和相关性矩阵计算；费率和税拖累从收益中扣除。预期收益是假设，不是预测；债券用当前收益率锚定，股票用盈利收益率+增长的下调估计，具体数字都可以在“投资”页改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3.5 寿命：夫妻联合长寿风险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寿命不是用“79.25 − 当前年龄”估的。79.25 是出生时预期寿命，不是 60 岁时的条件余命；而且一个家庭只要有一方活得久，支出就继续。模型对每个成年人独立抽样一个死亡年龄：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fill="FBF5E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0D5744"/>
                <w:sz w:val="22"/>
              </w:rPr>
              <w:t>生存曲线（模型假设）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9"/>
              </w:rPr>
              <w:t>S(t) = exp( −(t / λ)^k )，t 为 60 岁后的年数；k = 3.6；λ ≈ 26.5（男）/ 28.5（女）。</w:t>
              <w:br/>
              <w:t>由此得到：60 岁后活到 80 岁的概率约 69%，活到 90 岁约 20%，活到 100 岁约 2%。这是近似，不是官方生命表。</w:t>
            </w:r>
          </w:p>
        </w:tc>
      </w:tr>
    </w:tbl>
    <w:p>
      <w:pPr>
        <w:spacing w:after="4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夫妻两条寿命路径取“最后一个人去世”的时点；一方去世后，核心生活支出降到 72%，养老金也只剩在世一方的。这个处理会显著影响结果：只算单生命，可能低估 10–15% 的本金需求。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3.6 医疗与长期护理：尾部风险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日常医疗是“高频小钱”，大额医疗和长期护理是“低频大钱”。模型分开处理：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大额医疗：40 岁后按年龄上升的年概率，费用服从对数正态分布（中位数 15 万元，sigma 0.85，封顶 200 万元）。医保目录内报销默认 70%（低于 2025 年职工医保的 84.1%，作为保守混合假设），百万医疗补充 60%，但只有 80% 的费用属于可报销范围，另有 1 万元免赔额。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长期护理：65 岁后按年龄上升的发生率，首次发生后持续 1–8 年（均值 4 年），月费默认 8,000 元，按医疗通胀增长；长护险覆盖默认 0。失能后核心生活支出下调 20%，避免“护理费 + 原生活支出”双计。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为什么不能只加一个“医疗备用金”？因为护理风险不是一次性的，它可能持续多年；而且它往往发生在生命最后阶段，和长寿风险叠加。一个 90 岁失能老人，可能同时需要护理、医疗和配偶生活支出。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3.7 求解：蒙特卡洛 + 二分法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模型生成 4,000 条人生路径，每条路径同时抽样收益、通胀、寿命、医疗冲击、护理发生和持续时间。然后二分法寻找“使成功率≥目标置信度”的最小本金。所有候选本金共用同一组随机数，保证成功率随本金单调，避免“换一组随机数导致结果跳变”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输出不只是“一个数”：还有 80/90/95/99% 区间、当前资产成功率、活到 90 岁的条件成功率、成功率曲线、资产路径分位、终身支出结构、敏感性排序和压力测试。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4. 参数体系：一张完整的表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这个计算器的“多维”不是堆输入框，而是把影响现金流的变量分成八组。下面这张表是参数地图；计算器里实际可编辑的字段约 50 个，高级参数默认收起。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组</w:t>
            </w:r>
          </w:p>
        </w:tc>
        <w:tc>
          <w:tcPr>
            <w:tcW w:type="dxa" w:w="362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参数</w:t>
            </w:r>
          </w:p>
        </w:tc>
        <w:tc>
          <w:tcPr>
            <w:tcW w:type="dxa" w:w="2494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为什么重要</w:t>
            </w:r>
          </w:p>
        </w:tc>
        <w:tc>
          <w:tcPr>
            <w:tcW w:type="dxa" w:w="1587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类型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家庭与时间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成年人数、年龄、配偶年龄、停止工作年龄、规划到几岁、寿命模式、单身后支出比例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决定现金流长度、养老金起领点、夫妻联合寿命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用户输入 + 假设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支出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7 类核心生活、医疗、保险、退休后支出比例、75/85/95 岁年龄曲线、大件支出</w:t>
            </w:r>
          </w:p>
        </w:tc>
        <w:tc>
          <w:tcPr>
            <w:tcW w:type="dxa" w:w="249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本金对支出最敏感；分项才能用不同通胀</w:t>
            </w:r>
          </w:p>
        </w:tc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用户输入 + 假设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子女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数量、年龄、公立/私立/国际路线、支持到几岁、婚房/创业支持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教育通胀高、持续时间长、二孩边际成本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用户输入 + 研究估算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父母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每年赡养费、持续年数、医疗备用金</w:t>
            </w:r>
          </w:p>
        </w:tc>
        <w:tc>
          <w:tcPr>
            <w:tcW w:type="dxa" w:w="249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中国家庭常见的隐性负债</w:t>
            </w:r>
          </w:p>
        </w:tc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用户输入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住房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自住房价值、房贷余额/利率/年限、卖房年龄、卖后租金、交易税费、房价增长、房产税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自住房不是可投资资产；卖房是流动性事件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用户输入 + 政策假设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收入与社保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税后收入、储蓄、养老金模式、缴费年限/指数/账户/社平工资、退休年龄、COLA、租金、半退休、一次性流入</w:t>
            </w:r>
          </w:p>
        </w:tc>
        <w:tc>
          <w:tcPr>
            <w:tcW w:type="dxa" w:w="249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养老金是最大的确定性现金流之一，也最容易算错</w:t>
            </w:r>
          </w:p>
        </w:tc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用户输入 + 政策公式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投资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6 类资产配置、预期收益、波动、相关性、费率、税拖累、覆盖收益/波动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收益假设决定分母；配置决定尾部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假设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风险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置信度、遗产、路径数、通胀中枢/波动/持续性、医疗/教育通胀、t 分布、暴跌概率/幅度、医疗/护理发生率与费用、寿命尺度</w:t>
            </w:r>
          </w:p>
        </w:tc>
        <w:tc>
          <w:tcPr>
            <w:tcW w:type="dxa" w:w="249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把“黑天鹅”变成可调参数</w:t>
            </w:r>
          </w:p>
        </w:tc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假设 + 用户选择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参数分为三类，不能混：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事实：有官方来源、有明确年份和口径，例如 2025 年人均消费支出、2025 年人均预期寿命、2025 年养老金调整幅度。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研究估算/行业报价：有来源，但不是官方统计，例如生育成本报告、保险报价、养老院收费。它们有区间，默认值只是中位假设。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模型假设：没有可直接观测的“真值”，例如未来 60 年的股票收益、通胀中枢、护理发生率、夫妻寿命相关性。它们必须可调，且不应被伪装成事实。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5. 真实数据：哪些是事实，哪些是假设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这一节是“硬编码参数”的审计底稿。数据截至 2026-10-25；政策和统计都有时效性，使用前请核对最新版本。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587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数据</w:t>
            </w:r>
          </w:p>
        </w:tc>
        <w:tc>
          <w:tcPr>
            <w:tcW w:type="dxa" w:w="226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数值</w:t>
            </w:r>
          </w:p>
        </w:tc>
        <w:tc>
          <w:tcPr>
            <w:tcW w:type="dxa" w:w="1474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年份/口径</w:t>
            </w:r>
          </w:p>
        </w:tc>
        <w:tc>
          <w:tcPr>
            <w:tcW w:type="dxa" w:w="204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来源</w:t>
            </w:r>
          </w:p>
        </w:tc>
        <w:tc>
          <w:tcPr>
            <w:tcW w:type="dxa" w:w="1814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在模型中的用法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全国居民人均消费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29,476 元/年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2025，住户调查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国家统计局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城市/家庭预算的参照，不直接当默认支出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城镇居民人均消费</w:t>
            </w:r>
          </w:p>
        </w:tc>
        <w:tc>
          <w:tcPr>
            <w:tcW w:type="dxa" w:w="226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35,869 元/年</w:t>
            </w:r>
          </w:p>
        </w:tc>
        <w:tc>
          <w:tcPr>
            <w:tcW w:type="dxa" w:w="147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2025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国家统计局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同上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北京/上海城镇人均消费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54,122 / 57,076 元/年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2025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北京/上海统计局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一线城市预设的参照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CPI</w:t>
            </w:r>
          </w:p>
        </w:tc>
        <w:tc>
          <w:tcPr>
            <w:tcW w:type="dxa" w:w="226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2024 +0.2%；2025 0.0%；2026-09 +0.9%</w:t>
            </w:r>
          </w:p>
        </w:tc>
        <w:tc>
          <w:tcPr>
            <w:tcW w:type="dxa" w:w="147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2024–2026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国家统计局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模型默认 2.0% 是长期假设，不是当前值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人均预期寿命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79.25 岁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2025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国家卫健委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只作为背景，不直接用于寿命抽样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卫生总费用/人均</w:t>
            </w:r>
          </w:p>
        </w:tc>
        <w:tc>
          <w:tcPr>
            <w:tcW w:type="dxa" w:w="226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93,367.2 亿元 / 6,637.9 元</w:t>
            </w:r>
          </w:p>
        </w:tc>
        <w:tc>
          <w:tcPr>
            <w:tcW w:type="dxa" w:w="147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2025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国家卫健委卫生发展研究中心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医疗支出的宏观锚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个人卫生支出占比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27.1%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2025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同上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医保报销假设的现实约束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职工/居民医保目录内住院报销</w:t>
            </w:r>
          </w:p>
        </w:tc>
        <w:tc>
          <w:tcPr>
            <w:tcW w:type="dxa" w:w="226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84.1% / 66.0%</w:t>
            </w:r>
          </w:p>
        </w:tc>
        <w:tc>
          <w:tcPr>
            <w:tcW w:type="dxa" w:w="147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2025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国家医保局公报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商保补充前的基准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企业退休月人均养老金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3,162 元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2023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全国人大常委会社保法执法检查报告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养老金默认值的 sanity check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2024 / 2025 养老金调整</w:t>
            </w:r>
          </w:p>
        </w:tc>
        <w:tc>
          <w:tcPr>
            <w:tcW w:type="dxa" w:w="226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+3% / +2%</w:t>
            </w:r>
          </w:p>
        </w:tc>
        <w:tc>
          <w:tcPr>
            <w:tcW w:type="dxa" w:w="147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2024 / 2025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人社部、财政部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COLA 假设的参照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城乡居民基础养老金最低标准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163 元/月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2026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政府工作报告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居民养老金的底线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延迟退休</w:t>
            </w:r>
          </w:p>
        </w:tc>
        <w:tc>
          <w:tcPr>
            <w:tcW w:type="dxa" w:w="226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男 63；女 58/55；最低缴费 20 年</w:t>
            </w:r>
          </w:p>
        </w:tc>
        <w:tc>
          <w:tcPr>
            <w:tcW w:type="dxa" w:w="147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2025 起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全国人大常委会决定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养老金起领年龄与最低年限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个人养老金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12,000 元/年限额；领取 3% 税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2024 起全国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财政部、税务总局公告 2024 年第 21 号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未单独建模，但影响税后现金流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中国 10 年期国债</w:t>
            </w:r>
          </w:p>
        </w:tc>
        <w:tc>
          <w:tcPr>
            <w:tcW w:type="dxa" w:w="226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1.64%</w:t>
            </w:r>
          </w:p>
        </w:tc>
        <w:tc>
          <w:tcPr>
            <w:tcW w:type="dxa" w:w="147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2026-10-23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中债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债券收益假设的锚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1 年期定存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0.95%–0.98%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2026-10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国有大行挂牌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现金收益假设的锚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生育成本（全国 0–17 岁）</w:t>
            </w:r>
          </w:p>
        </w:tc>
        <w:tc>
          <w:tcPr>
            <w:tcW w:type="dxa" w:w="226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53.8 万元</w:t>
            </w:r>
          </w:p>
        </w:tc>
        <w:tc>
          <w:tcPr>
            <w:tcW w:type="dxa" w:w="147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2022 年价格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育娲人口《中国生育成本报告 2024 版》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子女成本表的参照，不是直接输入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30 岁男 50 万重疾（保至 70）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约 5,600 元/年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2026 报价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谱蓝保/慧择等公开报价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保险预算的参照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30 岁男 100 万定寿（保至 60）</w:t>
            </w:r>
          </w:p>
        </w:tc>
        <w:tc>
          <w:tcPr>
            <w:tcW w:type="dxa" w:w="226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约 1,100–1,250 元/年</w:t>
            </w:r>
          </w:p>
        </w:tc>
        <w:tc>
          <w:tcPr>
            <w:tcW w:type="dxa" w:w="147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2025–2026 报价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慧择公开报价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保险预算的参照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芜湖全护理养老机构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2,200–4,600 元/月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2025-12 政府公示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芜湖市镜湖区民政局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护理月费的参照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4% 法则</w:t>
            </w:r>
          </w:p>
        </w:tc>
        <w:tc>
          <w:tcPr>
            <w:tcW w:type="dxa" w:w="226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美国 1926–1992，30 年，50/50</w:t>
            </w:r>
          </w:p>
        </w:tc>
        <w:tc>
          <w:tcPr>
            <w:tcW w:type="dxa" w:w="147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1994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Bengen, JFP 7(4)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5"/>
              </w:rPr>
              <w:t>对照，不是默认提取率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必须特别说明的几个口径陷阱：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人均消费支出包含自有住房的虚拟租金，且是“人均”不是“家庭”。直接拿它当你的家庭支出，会高估或低估，取决于你是否租房、所在城市和家庭结构。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3,162 元是 2023 年“企业退休人员”口径，不是 2024/2025 年，也不是“全部职工含机关事业”口径。2025 年按 +3%、+2% 推算约 3,322 元，是推算，不是官方公布。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2026 年退休人员养老金调整文件，截至 2026-10-25 未见正式发布；模型不假设“已上调”。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CPI 2025 年是 0.0%，但不能把 0% 外推 60 年。模型默认 2.0% 是长期中枢假设，既高于近两年实际，也低于 3% 的政策上限。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生育成本 53.8 万元是 2022 年价格、含住房等消费性支出；本模型的子女表是“增量成本”，不含家庭共同住房，两者不能直接相加或对比。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保险报价随产品、体况、缴费期、保证续保条件变化；默认 1.2 万元/年是全家混合假设，不是某一张保单的价格。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6. 默认案例：从参数到结果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把默认参数代入模型，得到的结果如下。它不是“标准答案”，而是一个可复现的算例；你可以拿它和自己的生活对照，找出差异最大的三项。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c>
          <w:tcPr>
            <w:tcW w:type="dxa" w:w="1587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3515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默认值</w:t>
            </w:r>
          </w:p>
        </w:tc>
        <w:tc>
          <w:tcPr>
            <w:tcW w:type="dxa" w:w="4082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结果/说明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家庭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40/38 岁，2 人，1 个 6 岁孩子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夫妻联合寿命；一方去世后支出 72%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当前资产</w:t>
            </w:r>
          </w:p>
        </w:tc>
        <w:tc>
          <w:tcPr>
            <w:tcW w:type="dxa" w:w="3515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300 万元</w:t>
            </w:r>
          </w:p>
        </w:tc>
        <w:tc>
          <w:tcPr>
            <w:tcW w:type="dxa" w:w="4082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不含自住房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核心生活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1.4 万元/月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退休后 ×0.9；75/85/95 岁再降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医疗/保险</w:t>
            </w:r>
          </w:p>
        </w:tc>
        <w:tc>
          <w:tcPr>
            <w:tcW w:type="dxa" w:w="3515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1,000 元/月 + 1.2 万元/年</w:t>
            </w:r>
          </w:p>
        </w:tc>
        <w:tc>
          <w:tcPr>
            <w:tcW w:type="dxa" w:w="4082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医疗通胀 5%；保费实际增长 3%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房贷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100 万，3.2%，15 年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年供 84,983 元，55 岁还清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子女</w:t>
            </w:r>
          </w:p>
        </w:tc>
        <w:tc>
          <w:tcPr>
            <w:tcW w:type="dxa" w:w="3515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6 岁，公立，2 万元/年</w:t>
            </w:r>
          </w:p>
        </w:tc>
        <w:tc>
          <w:tcPr>
            <w:tcW w:type="dxa" w:w="4082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支持到 22 岁；大学阶段同上限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社保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25/22 年缴费，指数 1.2/1.0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养老金 5,772 + 3,846 元/月</w:t>
            </w:r>
          </w:p>
        </w:tc>
      </w:tr>
      <w:tr>
        <w:tc>
          <w:tcPr>
            <w:tcW w:type="dxa" w:w="1587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组合</w:t>
            </w:r>
          </w:p>
        </w:tc>
        <w:tc>
          <w:tcPr>
            <w:tcW w:type="dxa" w:w="3515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30/30/30/10</w:t>
            </w:r>
          </w:p>
        </w:tc>
        <w:tc>
          <w:tcPr>
            <w:tcW w:type="dxa" w:w="4082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费后几何 3.84%，波动 10.2%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目标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90% 置信度，规划到 100 岁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所需本金 1,862 万元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首年现金流 28.0 万元：核心 15.1 万、医疗 1.2 万、保险 1.2 万、房贷/居住 8.5 万、子女 2.0 万。注意，首年没有大件支出；45 岁旅行、48 岁换车、50 岁装修会在后续年份形成尖峰。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终身支出（确定性路径、今天币值）约 1,553 万元：核心 794 万、保险 201 万、大件 198 万、医疗 196 万、房贷/居住 111 万、子女 53 万。它不是本金的加总；本金还取决于这些支出发生的时间、以及期间的投资收益。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32000" cy="7253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_defa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25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5706A"/>
          <w:sz w:val="17"/>
        </w:rPr>
        <w:t>图 1  计算器默认参数下的首屏结果（2026-10）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为什么是 66 倍首年支出，而不是 25 倍？因为 25 倍对应 4% 提取率，而 4% 的期限是 30 年、市场是美国、组合是 50/50、没有费和税。你的期限是 60 年，组合费后几何只有 3.84%，通胀 2.0%，还要覆盖医疗、护理、子女和大件。把 4% 直接套过来，等于把分母（收益）高估、把分子（期限和风险）低估。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7. 敏感性与压力测试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敏感性回答“哪个参数最要命”；压力测试回答“如果人生换一个剧本，成功率会掉到多少”。两者都不是预测，而是让你知道计划的脆弱点。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7.1 敏感性：收益和通胀是最大的两个杠杆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72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参数</w:t>
            </w:r>
          </w:p>
        </w:tc>
        <w:tc>
          <w:tcPr>
            <w:tcW w:type="dxa" w:w="204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更乐观</w:t>
            </w:r>
          </w:p>
        </w:tc>
        <w:tc>
          <w:tcPr>
            <w:tcW w:type="dxa" w:w="204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更悲观</w:t>
            </w:r>
          </w:p>
        </w:tc>
        <w:tc>
          <w:tcPr>
            <w:tcW w:type="dxa" w:w="238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变化幅度</w:t>
            </w:r>
          </w:p>
        </w:tc>
      </w:tr>
      <w:tr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日常支出 ±20%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1,690 万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2,144 万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约 ±12%</w:t>
            </w:r>
          </w:p>
        </w:tc>
      </w:tr>
      <w:tr>
        <w:tc>
          <w:tcPr>
            <w:tcW w:type="dxa" w:w="272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投资净收益 ±1.5%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1,334 万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2,930 万</w:t>
            </w:r>
          </w:p>
        </w:tc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约 −28% / +54%</w:t>
            </w:r>
          </w:p>
        </w:tc>
      </w:tr>
      <w:tr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通胀中枢 ±1%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1,508 万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2,494 万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约 −19% / +31%</w:t>
            </w:r>
          </w:p>
        </w:tc>
      </w:tr>
      <w:tr>
        <w:tc>
          <w:tcPr>
            <w:tcW w:type="dxa" w:w="272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医疗通胀 ±2%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1,782 万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2,233 万</w:t>
            </w:r>
          </w:p>
        </w:tc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约 −6% / +17%</w:t>
            </w:r>
          </w:p>
        </w:tc>
      </w:tr>
      <w:tr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子女成本 ±30%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1,887 万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1,927 万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较小</w:t>
            </w:r>
          </w:p>
        </w:tc>
      </w:tr>
      <w:tr>
        <w:tc>
          <w:tcPr>
            <w:tcW w:type="dxa" w:w="272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养老金 +20% / −30%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1,900 万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1,916 万</w:t>
            </w:r>
          </w:p>
        </w:tc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较小</w:t>
            </w:r>
          </w:p>
        </w:tc>
      </w:tr>
      <w:tr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护理成本 ±50%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1,861 万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1,969 万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约 +4%</w:t>
            </w:r>
          </w:p>
        </w:tc>
      </w:tr>
      <w:tr>
        <w:tc>
          <w:tcPr>
            <w:tcW w:type="dxa" w:w="272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寿命 ±10%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1,689 万</w:t>
            </w:r>
          </w:p>
        </w:tc>
        <w:tc>
          <w:tcPr>
            <w:tcW w:type="dxa" w:w="204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1,919 万</w:t>
            </w:r>
          </w:p>
        </w:tc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约 −9% / +3%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解读：投资净收益和通胀中枢的影响远大于子女成本、养老金和护理成本。这不是说后者不重要，而是说在这个默认案例里，它们的绝对值相对 1,862 万的本金较小；如果你没有养老金、住在一线、或选择国际学校，排序会变。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另外，敏感性是“单因素、其他不变”的局部比较，不是可加的。不能把“收益 −1.5%”和“通胀 +1%”的增幅直接相加；它们会相互作用。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7.2 压力测试：90% 不是“安全”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c>
          <w:tcPr>
            <w:tcW w:type="dxa" w:w="4422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情景</w:t>
            </w:r>
          </w:p>
        </w:tc>
        <w:tc>
          <w:tcPr>
            <w:tcW w:type="dxa" w:w="1814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成功率</w:t>
            </w:r>
          </w:p>
        </w:tc>
        <w:tc>
          <w:tcPr>
            <w:tcW w:type="dxa" w:w="294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基准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89.3%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4,000 条路径，目标 90%</w:t>
            </w:r>
          </w:p>
        </w:tc>
      </w:tr>
      <w:tr>
        <w:tc>
          <w:tcPr>
            <w:tcW w:type="dxa" w:w="4422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退休后前 3 年连续大跌（−35%/−25%/−15%）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28.6%</w:t>
            </w:r>
          </w:p>
        </w:tc>
        <w:tc>
          <w:tcPr>
            <w:tcW w:type="dxa" w:w="294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序列风险：早期亏损不可逆</w:t>
            </w:r>
          </w:p>
        </w:tc>
      </w:tr>
      <w:tr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滞胀 10 年（通胀 5%，收益 −2%）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35.9%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通胀 + 低增长同时打击</w:t>
            </w:r>
          </w:p>
        </w:tc>
      </w:tr>
      <w:tr>
        <w:tc>
          <w:tcPr>
            <w:tcW w:type="dxa" w:w="4422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日本化 20 年（收益 1%）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86.1%</w:t>
            </w:r>
          </w:p>
        </w:tc>
        <w:tc>
          <w:tcPr>
            <w:tcW w:type="dxa" w:w="294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低收益但低通胀，伤害小于滞胀</w:t>
            </w:r>
          </w:p>
        </w:tc>
      </w:tr>
      <w:tr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养老金下调 30%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89.1%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养老金占比不高，影响有限</w:t>
            </w:r>
          </w:p>
        </w:tc>
      </w:tr>
      <w:tr>
        <w:tc>
          <w:tcPr>
            <w:tcW w:type="dxa" w:w="4422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活到 105 岁</w:t>
            </w:r>
          </w:p>
        </w:tc>
        <w:tc>
          <w:tcPr>
            <w:tcW w:type="dxa" w:w="1814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75.2%</w:t>
            </w:r>
          </w:p>
        </w:tc>
        <w:tc>
          <w:tcPr>
            <w:tcW w:type="dxa" w:w="294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7"/>
              </w:rPr>
              <w:t>长寿风险真实存在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最关键的一条是“退休后前 3 年连续大跌”：成功率从 90% 掉到 29%。这就是序列风险——同样的平均收益，如果亏损发生在早期，结果完全不同。应对方式不是“预测崩盘”，而是：留 2–3 年现金/短债、保持支出弹性、不要在暴跌中恐慌卖出、必要时延迟大额支出。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8. 怎么用这个计算器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建议按以下顺序填，不要一上来就改收益假设：</w:t>
      </w:r>
    </w:p>
    <w:p>
      <w:pPr>
        <w:spacing w:after="80"/>
        <w:ind w:left="227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1. </w:t>
      </w:r>
      <w:r>
        <w:rPr>
          <w:rFonts w:ascii="Microsoft YaHei" w:hAnsi="Microsoft YaHei" w:eastAsia="Microsoft YaHei"/>
          <w:b w:val="0"/>
          <w:i w:val="0"/>
          <w:sz w:val="20"/>
        </w:rPr>
        <w:t>填“家庭”：年龄、停止工作年龄、规划到几岁、当前可投资净资产。净资产不含自住房；如果你有投资性房产，只把净租金和可变现价值算进来。</w:t>
      </w:r>
    </w:p>
    <w:p>
      <w:pPr>
        <w:spacing w:after="80"/>
        <w:ind w:left="227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2. </w:t>
      </w:r>
      <w:r>
        <w:rPr>
          <w:rFonts w:ascii="Microsoft YaHei" w:hAnsi="Microsoft YaHei" w:eastAsia="Microsoft YaHei"/>
          <w:b w:val="0"/>
          <w:i w:val="0"/>
          <w:sz w:val="20"/>
        </w:rPr>
        <w:t>填“开支”：用过去 12 个月银行/支付宝/微信账单，算真实核心生活，不含房贷、保险、医疗；再把房贷、保险、医疗、子女、大件单独填。不要填“我希望以后花多少”，先填“现在实际花多少”。</w:t>
      </w:r>
    </w:p>
    <w:p>
      <w:pPr>
        <w:spacing w:after="80"/>
        <w:ind w:left="227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3. </w:t>
      </w:r>
      <w:r>
        <w:rPr>
          <w:rFonts w:ascii="Microsoft YaHei" w:hAnsi="Microsoft YaHei" w:eastAsia="Microsoft YaHei"/>
          <w:b w:val="0"/>
          <w:i w:val="0"/>
          <w:sz w:val="20"/>
        </w:rPr>
        <w:t>填“收入社保”：如果你现在不工作，工资填 0；养老金用公式或直接输入。缴费年限、缴费指数、个人账户余额不知道就按保守值；不要假设“缴满 15 年就够了”，2030 年后最低年限会逐步到 20 年。</w:t>
      </w:r>
    </w:p>
    <w:p>
      <w:pPr>
        <w:spacing w:after="80"/>
        <w:ind w:left="227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4. </w:t>
      </w:r>
      <w:r>
        <w:rPr>
          <w:rFonts w:ascii="Microsoft YaHei" w:hAnsi="Microsoft YaHei" w:eastAsia="Microsoft YaHei"/>
          <w:b w:val="0"/>
          <w:i w:val="0"/>
          <w:sz w:val="20"/>
        </w:rPr>
        <w:t>选“风险”：90% 是稳健起点；如果你要靠这笔钱一辈子，95% 更合适；99% 是“极稳”，但需要更多本金，且 4,000 条路径对 99% 的估计有误差。</w:t>
      </w:r>
    </w:p>
    <w:p>
      <w:pPr>
        <w:spacing w:after="80"/>
        <w:ind w:left="227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5. </w:t>
      </w:r>
      <w:r>
        <w:rPr>
          <w:rFonts w:ascii="Microsoft YaHei" w:hAnsi="Microsoft YaHei" w:eastAsia="Microsoft YaHei"/>
          <w:b w:val="0"/>
          <w:i w:val="0"/>
          <w:sz w:val="20"/>
        </w:rPr>
        <w:t>看“压力测试”：如果“退休后前 3 年大跌”的成功率低于 50%，说明你的计划对序列风险很敏感；先加现金缓冲/支出弹性，而不是继续调高收益假设。</w:t>
      </w:r>
    </w:p>
    <w:p>
      <w:pPr>
        <w:spacing w:after="80"/>
        <w:ind w:left="227"/>
      </w:pPr>
      <w:r>
        <w:rPr>
          <w:rFonts w:ascii="Microsoft YaHei" w:hAnsi="Microsoft YaHei" w:eastAsia="Microsoft YaHei"/>
          <w:b/>
          <w:i w:val="0"/>
          <w:color w:val="B8893F"/>
          <w:sz w:val="20"/>
        </w:rPr>
        <w:t xml:space="preserve">6. </w:t>
      </w:r>
      <w:r>
        <w:rPr>
          <w:rFonts w:ascii="Microsoft YaHei" w:hAnsi="Microsoft YaHei" w:eastAsia="Microsoft YaHei"/>
          <w:b w:val="0"/>
          <w:i w:val="0"/>
          <w:sz w:val="20"/>
        </w:rPr>
        <w:t>做“如果”：把支出降 20%、或晚退休 3 年、或卖房，看看哪个动作最有效。通常“降支出”和“多工作几年”比“提高收益”更可控。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几个常见错误：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把“家庭总支出”填进核心生活，又把房贷、保险、子女加一遍，导致重复计算。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把自住房算进可投资资产，导致“看起来达标”，实际没有现金流。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用税前工资当税后收入，或忘了社保、公积金、个税。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把 4% 当默认提取率；在本模型里，它只是对照，不是建议。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只看 90% 一个数，不看 80/95/99 区间和压力测试。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9. 模型边界与诚实限制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这个模型比“25 倍年支出”复杂，但它仍然是一个简化。以下限制会改变结果，方向不一定：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c>
          <w:tcPr>
            <w:tcW w:type="dxa" w:w="192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限制</w:t>
            </w:r>
          </w:p>
        </w:tc>
        <w:tc>
          <w:tcPr>
            <w:tcW w:type="dxa" w:w="362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影响</w:t>
            </w:r>
          </w:p>
        </w:tc>
        <w:tc>
          <w:tcPr>
            <w:tcW w:type="dxa" w:w="3628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为什么不建模/如何补偿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收益不可预测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未来 60 年的股债收益、通胀、政策都可能偏离假设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用区间、压力测试、敏感性；不要迷信单点</w:t>
            </w:r>
          </w:p>
        </w:tc>
      </w:tr>
      <w:tr>
        <w:tc>
          <w:tcPr>
            <w:tcW w:type="dxa" w:w="19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尾部不是正态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战争、疫情、房地产/银行风险、政策突变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t 分布 + 暴跌跳跃 + 压力情景，仍不是全部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税费简化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资本利得、股息、房租、个人养老金、遗产税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用税拖累近似；个人养老金未单独建模</w:t>
            </w:r>
          </w:p>
        </w:tc>
      </w:tr>
      <w:tr>
        <w:tc>
          <w:tcPr>
            <w:tcW w:type="dxa" w:w="19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汇率未建模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海外资产的汇率风险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全球股票用人民币收益近似；实际会有汇率波动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家庭状态机简化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离婚、再婚、丧偶、子女啃老、父母大病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只建模一方去世后的支出下降；其他靠压力测试/人工判断</w:t>
            </w:r>
          </w:p>
        </w:tc>
      </w:tr>
      <w:tr>
        <w:tc>
          <w:tcPr>
            <w:tcW w:type="dxa" w:w="19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医保/商保简化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目录外、封顶、拒赔、停售、保证续保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用可报销比例和免赔额近似；不是保单精算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长寿表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中国 60 岁条件余命没有统一官方单一值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Weibull 近似；可用“活到 105”压力测试</w:t>
            </w:r>
          </w:p>
        </w:tc>
      </w:tr>
      <w:tr>
        <w:tc>
          <w:tcPr>
            <w:tcW w:type="dxa" w:w="19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蒙特卡洛误差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4,000 条路径对 90% 的估计有 ±0.5–1pp 误差；99% 更不稳</w:t>
            </w:r>
          </w:p>
        </w:tc>
        <w:tc>
          <w:tcPr>
            <w:tcW w:type="dxa" w:w="3628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固定种子、可复现；99% 只作参考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年度步长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年内崩盘、年内现金流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年初现金流、年末收益；对结果偏保守</w:t>
            </w:r>
          </w:p>
        </w:tc>
      </w:tr>
    </w:tbl>
    <w:p>
      <w:pPr>
        <w:spacing w:after="80"/>
      </w:pP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最重要的一条：模型不会告诉你“明天会不会崩盘”，也不会告诉你“你应该买什么”。它只告诉你，在多种人生剧本下，你的计划有多脆弱、哪个假设最值钱。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10. 验证与审计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这个模型在交付前做了三类独立检查：数据核查、模型审计、产品/前端测试。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10.1 数据核查的关键更正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3,162 元是 2023 年企业退休人员口径，不是 2024/2025 年；2025 年按调整幅度推算约 3,322 元，标注为推算。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2024/2025 年 CPI 实际为 +0.2% / 0.0%，不是 2–3%；模型默认 2.0% 是长期假设，已在界面标注。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2025 年职工/居民医保目录内住院报销为 84.1% / 66.0%，不是旧口径的 80%+/70%。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2026 年退休人员养老金调整文件截至 2026-10-25 未见正式发布；模型不假设“已上调”。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生育成本 53.8 万元是 2022 年价格；模型子女表是增量成本，不是直接套用。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60 岁条件余命没有统一官方单一值；模型用 Weibull 近似，属于假设。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10.2 模型审计后修复的 P0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收益口径：区分“费后几何”和“蒙特卡洛算术均值”，避免把几何收益当成单年复利。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养老金：个人账户按记账利率增长、社平工资按名义增长折算、最低缴费年限改为 20 年、计发月数按 63 岁 117 个月。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支出分项：核心生活、医疗、保险分开，医疗/保险不随年龄曲线下降，避免重复计算。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医疗自付：加入“可报销费用占比”，避免 70%×60% 后自付只有 12% 的过度乐观。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长期护理：加入年龄相关发生率、持续年数、护理期间生活支出下调。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敏感性：所有情景使用同一样本、同一路径数，避免“基准和情景不同样本”造成的假差异。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前端：移动端结果优先、参数后置；图表可横向滚动；Worker 计算避免卡死。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0D5744"/>
          <w:sz w:val="26"/>
        </w:rPr>
        <w:t>10.3 交叉校验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Python 参考实现与 HTML/JS 引擎使用同一套公式。确定性测算在 11 个案例（默认、单身、已退休、高支出、低收益、无养老金、无子女、活到 105、遗产 200 万、高资产、零支出）上逐项一致，差异为 0.000%。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随机部分在 2,000 条路径下：默认案例 JS 1,899 万 vs Python 1,870 万（约 1.5%）；低收益 3,182 vs 3,099（约 2.7%）；遗产 2,185 vs 2,160（约 1.2%）。差异来自不同随机数流和抽样误差，量级合理。800 条路径下个别案例差异可达 10%，因此产品默认 4,000 条，而不是 800。</w:t>
      </w:r>
    </w:p>
    <w:p>
      <w:pPr>
        <w:spacing w:after="100" w:before="0" w:line="348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性质测试覆盖：房贷零利率/余额、养老金公式/最低年限、零支出→零本金、支出/通胀/置信度/遗产单调性、确定性 &lt; 蒙特卡洛、同一 seed 可复现、子女成本在支持年龄后归零、几何收益 &lt; 算术收益。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附录 A：公式与口径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706"/>
        <w:gridCol w:w="4706"/>
      </w:tblGrid>
      <w:tr>
        <w:tc>
          <w:tcPr>
            <w:tcW w:type="dxa" w:w="2381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主题</w:t>
            </w:r>
          </w:p>
        </w:tc>
        <w:tc>
          <w:tcPr>
            <w:tcW w:type="dxa" w:w="6803"/>
            <w:shd w:fill="0D574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公式/口径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资产递推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W_t = (W_{t-1} + I_t − E_t + S_t) × (1 + r_t)</w:t>
            </w:r>
          </w:p>
        </w:tc>
      </w:tr>
      <w:tr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成功</w:t>
            </w:r>
          </w:p>
        </w:tc>
        <w:tc>
          <w:tcPr>
            <w:tcW w:type="dxa" w:w="6803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所有死亡前 W_t ≥ 0，且 W_死亡 ≥ 遗产目标 × CPI_死亡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房贷年供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PMT = P × r / [1 − (1+r)^(−n)]；r=0 时为 P/n</w:t>
            </w:r>
          </w:p>
        </w:tc>
      </w:tr>
      <w:tr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基础养老金</w:t>
            </w:r>
          </w:p>
        </w:tc>
        <w:tc>
          <w:tcPr>
            <w:tcW w:type="dxa" w:w="6803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（退休时当地上年度在岗职工月平均工资 + 本人指数化月平均缴费工资）÷2 × 缴费年限 ×1%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个人账户养老金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个人账户储存额 ÷ 计发月数（63 岁 117）</w:t>
            </w:r>
          </w:p>
        </w:tc>
      </w:tr>
      <w:tr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几何/算术</w:t>
            </w:r>
          </w:p>
        </w:tc>
        <w:tc>
          <w:tcPr>
            <w:tcW w:type="dxa" w:w="6803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g ≈ μ − 0.5σ²；μ_MC = g + 0.5σ²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实际收益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(1+名义)/(1+通胀) − 1；近似 名义 − 通胀</w:t>
            </w:r>
          </w:p>
        </w:tc>
      </w:tr>
      <w:tr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通胀路径</w:t>
            </w:r>
          </w:p>
        </w:tc>
        <w:tc>
          <w:tcPr>
            <w:tcW w:type="dxa" w:w="6803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π_t = μ + φ(π_{t−1}−μ) + σ√(1−φ²) ε_t；截断 [−2%, 15%]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寿命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S(t)=exp(−(t/λ)^k)，t=60 岁后年数，k=3.6，λ≈26.5/28.5</w:t>
            </w:r>
          </w:p>
        </w:tc>
      </w:tr>
      <w:tr>
        <w:tc>
          <w:tcPr>
            <w:tcW w:type="dxa" w:w="2381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置信度</w:t>
            </w:r>
          </w:p>
        </w:tc>
        <w:tc>
          <w:tcPr>
            <w:tcW w:type="dxa" w:w="6803"/>
            <w:shd w:fill="F8F4E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11B"/>
                <w:sz w:val="16"/>
              </w:rPr>
              <w:t>成功率 = 不破产路径数 / 总路径数；90% 表示约 10% 路径失败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附录 B：名词表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0D5744"/>
          <w:sz w:val="20"/>
        </w:rPr>
        <w:t>置信度：</w:t>
      </w:r>
      <w:r>
        <w:rPr>
          <w:rFonts w:ascii="Microsoft YaHei" w:hAnsi="Microsoft YaHei" w:eastAsia="Microsoft YaHei"/>
          <w:b w:val="0"/>
          <w:i w:val="0"/>
          <w:sz w:val="20"/>
        </w:rPr>
        <w:t>模型输出的“不破产概率”。90% 不是收益率，也不是保证。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0D5744"/>
          <w:sz w:val="20"/>
        </w:rPr>
        <w:t>安全提取率：</w:t>
      </w:r>
      <w:r>
        <w:rPr>
          <w:rFonts w:ascii="Microsoft YaHei" w:hAnsi="Microsoft YaHei" w:eastAsia="Microsoft YaHei"/>
          <w:b w:val="0"/>
          <w:i w:val="0"/>
          <w:sz w:val="20"/>
        </w:rPr>
        <w:t>首年可提取金额 / 本金。4% 法则是一个特定历史条件下的经验值，不是自然常数。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0D5744"/>
          <w:sz w:val="20"/>
        </w:rPr>
        <w:t>费后几何收益：</w:t>
      </w:r>
      <w:r>
        <w:rPr>
          <w:rFonts w:ascii="Microsoft YaHei" w:hAnsi="Microsoft YaHei" w:eastAsia="Microsoft YaHei"/>
          <w:b w:val="0"/>
          <w:i w:val="0"/>
          <w:sz w:val="20"/>
        </w:rPr>
        <w:t>扣除费率、税拖累后的长期复利年化；比算术均值低，差额约为 0.5×方差。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0D5744"/>
          <w:sz w:val="20"/>
        </w:rPr>
        <w:t>序列风险：</w:t>
      </w:r>
      <w:r>
        <w:rPr>
          <w:rFonts w:ascii="Microsoft YaHei" w:hAnsi="Microsoft YaHei" w:eastAsia="Microsoft YaHei"/>
          <w:b w:val="0"/>
          <w:i w:val="0"/>
          <w:sz w:val="20"/>
        </w:rPr>
        <w:t>早期亏损对长期结果的影响远大于晚期亏损；同样的平均收益，顺序不同，结果不同。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0D5744"/>
          <w:sz w:val="20"/>
        </w:rPr>
        <w:t>长寿风险：</w:t>
      </w:r>
      <w:r>
        <w:rPr>
          <w:rFonts w:ascii="Microsoft YaHei" w:hAnsi="Microsoft YaHei" w:eastAsia="Microsoft YaHei"/>
          <w:b w:val="0"/>
          <w:i w:val="0"/>
          <w:sz w:val="20"/>
        </w:rPr>
        <w:t>活得比预期久，导致本金不够；夫妻联合寿命会放大这个风险。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0D5744"/>
          <w:sz w:val="20"/>
        </w:rPr>
        <w:t>失能/长期护理：</w:t>
      </w:r>
      <w:r>
        <w:rPr>
          <w:rFonts w:ascii="Microsoft YaHei" w:hAnsi="Microsoft YaHei" w:eastAsia="Microsoft YaHei"/>
          <w:b w:val="0"/>
          <w:i w:val="0"/>
          <w:sz w:val="20"/>
        </w:rPr>
        <w:t>需要他人长期照护的状态；费用高、持续多年，是老年最大的尾部风险之一。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0D5744"/>
          <w:sz w:val="20"/>
        </w:rPr>
        <w:t>黑天鹅：</w:t>
      </w:r>
      <w:r>
        <w:rPr>
          <w:rFonts w:ascii="Microsoft YaHei" w:hAnsi="Microsoft YaHei" w:eastAsia="Microsoft YaHei"/>
          <w:b w:val="0"/>
          <w:i w:val="0"/>
          <w:sz w:val="20"/>
        </w:rPr>
        <w:t>低概率、高影响、难以预测的事件；模型用 t 分布、暴跌跳跃和压力情景近似。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0D5744"/>
          <w:sz w:val="20"/>
        </w:rPr>
        <w:t>4% 法则：</w:t>
      </w:r>
      <w:r>
        <w:rPr>
          <w:rFonts w:ascii="Microsoft YaHei" w:hAnsi="Microsoft YaHei" w:eastAsia="Microsoft YaHei"/>
          <w:b w:val="0"/>
          <w:i w:val="0"/>
          <w:sz w:val="20"/>
        </w:rPr>
        <w:t>Bengen 1994 基于美国 1926–1992、30 年、50/50 股债的 historical worst-case；不是中国 60 年规划的默认值。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i w:val="0"/>
          <w:color w:val="0D5744"/>
          <w:sz w:val="32"/>
        </w:rPr>
        <w:t>附录 C：参考链接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7211B"/>
          <w:sz w:val="18"/>
        </w:rPr>
        <w:t>• 国家统计局 2025 年居民收支：</w:t>
      </w:r>
      <w:r>
        <w:rPr>
          <w:rFonts w:ascii="Microsoft YaHei" w:hAnsi="Microsoft YaHei" w:eastAsia="Microsoft YaHei"/>
          <w:b w:val="0"/>
          <w:i w:val="0"/>
          <w:color w:val="0D5744"/>
          <w:sz w:val="17"/>
        </w:rPr>
        <w:t>https://www.stats.gov.cn/xxgk/sjfb/zxfb2020/202601/t20260119_1962321.html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7211B"/>
          <w:sz w:val="18"/>
        </w:rPr>
        <w:t>• 国家统计局 2024 年统计公报：</w:t>
      </w:r>
      <w:r>
        <w:rPr>
          <w:rFonts w:ascii="Microsoft YaHei" w:hAnsi="Microsoft YaHei" w:eastAsia="Microsoft YaHei"/>
          <w:b w:val="0"/>
          <w:i w:val="0"/>
          <w:color w:val="0D5744"/>
          <w:sz w:val="17"/>
        </w:rPr>
        <w:t>https://www.stats.gov.cn/sj/zxfb/202502/t20250228_1958817.html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7211B"/>
          <w:sz w:val="18"/>
        </w:rPr>
        <w:t>• 2025 年养老金调整通知：</w:t>
      </w:r>
      <w:r>
        <w:rPr>
          <w:rFonts w:ascii="Microsoft YaHei" w:hAnsi="Microsoft YaHei" w:eastAsia="Microsoft YaHei"/>
          <w:b w:val="0"/>
          <w:i w:val="0"/>
          <w:color w:val="0D5744"/>
          <w:sz w:val="17"/>
        </w:rPr>
        <w:t>https://www.gov.cn/zhengce/zhengceku/202507/content_7031449.htm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7211B"/>
          <w:sz w:val="18"/>
        </w:rPr>
        <w:t>• 渐进式延迟退休决定：</w:t>
      </w:r>
      <w:r>
        <w:rPr>
          <w:rFonts w:ascii="Microsoft YaHei" w:hAnsi="Microsoft YaHei" w:eastAsia="Microsoft YaHei"/>
          <w:b w:val="0"/>
          <w:i w:val="0"/>
          <w:color w:val="0D5744"/>
          <w:sz w:val="17"/>
        </w:rPr>
        <w:t>https://www.gov.cn/zhengce/202409/content_6974294.htm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7211B"/>
          <w:sz w:val="18"/>
        </w:rPr>
        <w:t>• 国发〔2005〕38 号（养老金公式）：</w:t>
      </w:r>
      <w:r>
        <w:rPr>
          <w:rFonts w:ascii="Microsoft YaHei" w:hAnsi="Microsoft YaHei" w:eastAsia="Microsoft YaHei"/>
          <w:b w:val="0"/>
          <w:i w:val="0"/>
          <w:color w:val="0D5744"/>
          <w:sz w:val="17"/>
        </w:rPr>
        <w:t>http://zfgb.fj.gov.cn//6655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7211B"/>
          <w:sz w:val="18"/>
        </w:rPr>
        <w:t>• 个人养老金税优政策：</w:t>
      </w:r>
      <w:r>
        <w:rPr>
          <w:rFonts w:ascii="Microsoft YaHei" w:hAnsi="Microsoft YaHei" w:eastAsia="Microsoft YaHei"/>
          <w:b w:val="0"/>
          <w:i w:val="0"/>
          <w:color w:val="0D5744"/>
          <w:sz w:val="17"/>
        </w:rPr>
        <w:t>https://zhejiang.chinatax.gov.cn/art/2026/3/9/art_24107_650245.html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7211B"/>
          <w:sz w:val="18"/>
        </w:rPr>
        <w:t>• 中债 2026-10-23 收益率：</w:t>
      </w:r>
      <w:r>
        <w:rPr>
          <w:rFonts w:ascii="Microsoft YaHei" w:hAnsi="Microsoft YaHei" w:eastAsia="Microsoft YaHei"/>
          <w:b w:val="0"/>
          <w:i w:val="0"/>
          <w:color w:val="0D5744"/>
          <w:sz w:val="17"/>
        </w:rPr>
        <w:t>https://www.chinabond.com.cn/zzsj/zzsj_zzjgcp/zzjgcp_cpdt/cpdt_cpbg/cpbg_qxhzsrp/202610/t20261023_855472794.html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7211B"/>
          <w:sz w:val="18"/>
        </w:rPr>
        <w:t>• 生育成本报告 2024 版报道：</w:t>
      </w:r>
      <w:r>
        <w:rPr>
          <w:rFonts w:ascii="Microsoft YaHei" w:hAnsi="Microsoft YaHei" w:eastAsia="Microsoft YaHei"/>
          <w:b w:val="0"/>
          <w:i w:val="0"/>
          <w:color w:val="0D5744"/>
          <w:sz w:val="17"/>
        </w:rPr>
        <w:t>https://news.cnr.cn/native/gd/20240221/t20240221_526602847.shtml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7211B"/>
          <w:sz w:val="18"/>
        </w:rPr>
        <w:t>• 30 岁重疾/定寿报价参考：</w:t>
      </w:r>
      <w:r>
        <w:rPr>
          <w:rFonts w:ascii="Microsoft YaHei" w:hAnsi="Microsoft YaHei" w:eastAsia="Microsoft YaHei"/>
          <w:b w:val="0"/>
          <w:i w:val="0"/>
          <w:color w:val="0D5744"/>
          <w:sz w:val="17"/>
        </w:rPr>
        <w:t>https://www.pulanbx.com/bxzs/233812.html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7211B"/>
          <w:sz w:val="18"/>
        </w:rPr>
        <w:t>• 芜湖镜湖区养老机构收费公示：</w:t>
      </w:r>
      <w:r>
        <w:rPr>
          <w:rFonts w:ascii="Microsoft YaHei" w:hAnsi="Microsoft YaHei" w:eastAsia="Microsoft YaHei"/>
          <w:b w:val="0"/>
          <w:i w:val="0"/>
          <w:color w:val="0D5744"/>
          <w:sz w:val="17"/>
        </w:rPr>
        <w:t>https://www.whjhq.gov.cn/openness/public/6605561/40821393.html</w:t>
      </w:r>
    </w:p>
    <w:p/>
    <w:p>
      <w:pPr>
        <w:spacing w:after="100" w:before="0" w:line="348" w:lineRule="auto"/>
      </w:pPr>
      <w:r>
        <w:rPr>
          <w:rFonts w:ascii="Microsoft YaHei" w:hAnsi="Microsoft YaHei" w:eastAsia="Microsoft YaHei"/>
          <w:b w:val="0"/>
          <w:i w:val="0"/>
          <w:color w:val="65706A"/>
          <w:sz w:val="18"/>
        </w:rPr>
        <w:t>免责声明：本报告与配套计算器是规划工具，不构成投资、保险、税务或法律建议。所有预期收益、通胀、寿命、医疗/护理发生率都是假设；实际结果可能显著不同。请结合持牌专业人士的意见使用。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5706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