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2"/>
              </w:rPr>
              <w:t>PROJECT DESIGN PHASE-II</w:t>
              <w:br/>
              <w:t>SOLUTION REQUIREMENTS (FUNCTIONAL &amp; NON-FUNCTIONAL)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Team ID:</w:t>
            </w:r>
            <w:r>
              <w:rPr>
                <w:color w:val="222222"/>
              </w:rPr>
              <w:t xml:space="preserve"> SWTID-2026-1398</w:t>
            </w:r>
          </w:p>
        </w:tc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Date:</w:t>
            </w:r>
            <w:r>
              <w:rPr>
                <w:color w:val="222222"/>
              </w:rPr>
              <w:t xml:space="preserve"> 30 September 2026</w:t>
            </w:r>
          </w:p>
        </w:tc>
      </w:tr>
      <w:tr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Project Title:</w:t>
            </w:r>
            <w:r>
              <w:rPr>
                <w:color w:val="222222"/>
              </w:rPr>
              <w:t xml:space="preserve"> Import Data Using Transform Maps</w:t>
            </w:r>
          </w:p>
        </w:tc>
        <w:tc>
          <w:tcPr>
            <w:tcW w:type="dxa" w:w="46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B365D"/>
              </w:rPr>
              <w:t>Maximum Marks:</w:t>
            </w:r>
            <w:r>
              <w:rPr>
                <w:color w:val="222222"/>
              </w:rPr>
              <w:t xml:space="preserve"> 4 Marks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1B365D"/>
          <w:sz w:val="26"/>
        </w:rPr>
        <w:t>Functional Requirements:</w:t>
      </w:r>
    </w:p>
    <w:p>
      <w:pPr>
        <w:spacing w:after="160"/>
      </w:pPr>
      <w:r>
        <w:t>Following are the functional requirements of the proposed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 No.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type="dxa" w:w="47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Sub Requirement (Story / Sub-Task)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FR-1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Spreadsheet Upload &amp; Staging</w:t>
            </w:r>
          </w:p>
        </w:tc>
        <w:tc>
          <w:tcPr>
            <w:tcW w:type="dxa" w:w="475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• File Parsing &amp; Processing (Excel/CSV)</w:t>
              <w:br/>
              <w:t>• Import Set Staging Table Allocation</w:t>
              <w:br/>
              <w:t>• Raw Data Storage &amp; Field Formatting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FR-2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Transform Mapping &amp; Field Configuration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• Field Mapping (Employee ID, Name, Email, Dept, Location)</w:t>
              <w:br/>
              <w:t>• Target Table Binding (Employee Master / sys_user)</w:t>
              <w:br/>
              <w:t>• Data Type &amp; Format Validation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FR-3</w:t>
            </w:r>
          </w:p>
        </w:tc>
        <w:tc>
          <w:tcPr>
            <w:tcW w:type="dxa" w:w="316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Record Coalescing &amp; Deduplication</w:t>
            </w:r>
          </w:p>
        </w:tc>
        <w:tc>
          <w:tcPr>
            <w:tcW w:type="dxa" w:w="475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• Unique Identifier Matching using Employee ID</w:t>
              <w:br/>
              <w:t>• Update Record logic for existing Employee IDs</w:t>
              <w:br/>
              <w:t>• Insert Record logic for new Employee IDs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FR-4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Import Verification &amp; Error Logging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• Transform Execution Log Generation</w:t>
              <w:br/>
              <w:t>• Invalid Row Exception Handling</w:t>
              <w:br/>
              <w:t>• Verification of Updated Profiles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Calibri" w:hAnsi="Calibri"/>
          <w:b/>
          <w:color w:val="1B365D"/>
          <w:sz w:val="26"/>
        </w:rPr>
        <w:t>Non-functional Requirements:</w:t>
      </w:r>
    </w:p>
    <w:p>
      <w:pPr>
        <w:spacing w:after="160"/>
      </w:pPr>
      <w:r>
        <w:t>Following are the non-functional requirements of the proposed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NFR No.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Non-Functional Requirement</w:t>
            </w:r>
          </w:p>
        </w:tc>
        <w:tc>
          <w:tcPr>
            <w:tcW w:type="dxa" w:w="50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NFR-1</w:t>
            </w:r>
          </w:p>
        </w:tc>
        <w:tc>
          <w:tcPr>
            <w:tcW w:type="dxa" w:w="288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Usability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Intuitive administrator UI in ServiceNow for uploading spreadsheets and viewing real-time transform status.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NFR-2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Security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Role-based Access Control (RBAC) ensuring only authorized administrators can trigger import sets or view PII employee data.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NFR-3</w:t>
            </w:r>
          </w:p>
        </w:tc>
        <w:tc>
          <w:tcPr>
            <w:tcW w:type="dxa" w:w="288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Reliability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Atomic transactions during transformation ensuring data integrity and zero corruption if a batch upload is interrupted.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NFR-4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Performance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High-throughput batch processing capable of executing transform maps for thousands of records within acceptable response times.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NFR-5</w:t>
            </w:r>
          </w:p>
        </w:tc>
        <w:tc>
          <w:tcPr>
            <w:tcW w:type="dxa" w:w="288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Availability</w:t>
            </w:r>
          </w:p>
        </w:tc>
        <w:tc>
          <w:tcPr>
            <w:tcW w:type="dxa" w:w="50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High system availability (99.9%) on the ServiceNow platform with 24/7 access for scheduled or manual imports.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NFR-6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Scalability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Seamless capacity to scale and process larger bulk employee spreadsheets or additional custom field mappings in future releases.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