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1B365D"/>
            <w:tcMar>
              <w:top w:w="200" w:type="dxa"/>
              <w:bottom w:w="200" w:type="dxa"/>
              <w:left w:w="200" w:type="dxa"/>
              <w:right w:w="200" w:type="dxa"/>
            </w:tcMar>
          </w:tcPr>
          <w:p>
            <w:pPr>
              <w:jc w:val="left"/>
            </w:pPr>
            <w:r>
              <w:rPr>
                <w:rFonts w:ascii="Calibri" w:hAnsi="Calibri"/>
                <w:b/>
                <w:color w:val="FFFFFF"/>
                <w:sz w:val="32"/>
              </w:rPr>
              <w:t>PROJECT DESIGN PHASE-II</w:t>
              <w:br/>
              <w:t>TECHNOLOGY STACK (ARCHITECTURE &amp; STACK)</w:t>
            </w:r>
          </w:p>
        </w:tc>
      </w:tr>
    </w:tbl>
    <w:p>
      <w:pPr>
        <w:spacing w:after="80"/>
      </w:pPr>
    </w:p>
    <w:tbl>
      <w:tblPr>
        <w:tblW w:type="auto" w:w="0"/>
        <w:jc w:val="center"/>
        <w:tblLayout w:type="fixed"/>
        <w:tblLook w:firstColumn="1" w:firstRow="1" w:lastColumn="0" w:lastRow="0" w:noHBand="0" w:noVBand="1" w:val="04A0"/>
        <w:tblBorders>
          <w:top w:val="single" w:sz="6" w:space="0" w:color="B0C4DE"/>
          <w:bottom w:val="single" w:sz="6" w:space="0" w:color="B0C4DE"/>
          <w:insideH w:val="single" w:sz="6" w:space="0" w:color="B0C4DE"/>
          <w:insideV w:val="none"/>
          <w:left w:val="none"/>
          <w:right w:val="none"/>
        </w:tblBorders>
      </w:tblPr>
      <w:tblGrid>
        <w:gridCol w:w="4680"/>
        <w:gridCol w:w="4680"/>
      </w:tblGrid>
      <w:tr>
        <w:tc>
          <w:tcPr>
            <w:tcW w:type="dxa" w:w="4680"/>
            <w:shd w:fill="F0F4F8"/>
            <w:tcMar>
              <w:top w:w="100" w:type="dxa"/>
              <w:bottom w:w="100" w:type="dxa"/>
              <w:left w:w="150" w:type="dxa"/>
              <w:right w:w="150" w:type="dxa"/>
            </w:tcMar>
          </w:tcPr>
          <w:p>
            <w:pPr>
              <w:spacing w:after="40"/>
            </w:pPr>
            <w:r>
              <w:rPr>
                <w:b/>
                <w:color w:val="1B365D"/>
              </w:rPr>
              <w:t>Team ID:</w:t>
            </w:r>
            <w:r>
              <w:rPr>
                <w:color w:val="222222"/>
              </w:rPr>
              <w:t xml:space="preserve"> SWTID-2026-1398</w:t>
            </w:r>
          </w:p>
        </w:tc>
        <w:tc>
          <w:tcPr>
            <w:tcW w:type="dxa" w:w="4680"/>
            <w:shd w:fill="F0F4F8"/>
            <w:tcMar>
              <w:top w:w="100" w:type="dxa"/>
              <w:bottom w:w="100" w:type="dxa"/>
              <w:left w:w="150" w:type="dxa"/>
              <w:right w:w="150" w:type="dxa"/>
            </w:tcMar>
          </w:tcPr>
          <w:p>
            <w:pPr>
              <w:spacing w:after="40"/>
            </w:pPr>
            <w:r>
              <w:rPr>
                <w:b/>
                <w:color w:val="1B365D"/>
              </w:rPr>
              <w:t>Date:</w:t>
            </w:r>
            <w:r>
              <w:rPr>
                <w:color w:val="222222"/>
              </w:rPr>
              <w:t xml:space="preserve"> 30 September 2026</w:t>
            </w:r>
          </w:p>
        </w:tc>
      </w:tr>
      <w:tr>
        <w:tc>
          <w:tcPr>
            <w:tcW w:type="dxa" w:w="4680"/>
            <w:shd w:fill="F0F4F8"/>
            <w:tcMar>
              <w:top w:w="100" w:type="dxa"/>
              <w:bottom w:w="100" w:type="dxa"/>
              <w:left w:w="150" w:type="dxa"/>
              <w:right w:w="150" w:type="dxa"/>
            </w:tcMar>
          </w:tcPr>
          <w:p>
            <w:pPr>
              <w:spacing w:after="40"/>
            </w:pPr>
            <w:r>
              <w:rPr>
                <w:b/>
                <w:color w:val="1B365D"/>
              </w:rPr>
              <w:t>Project Name:</w:t>
            </w:r>
            <w:r>
              <w:rPr>
                <w:color w:val="222222"/>
              </w:rPr>
              <w:t xml:space="preserve"> Import Data Using Transform Maps</w:t>
            </w:r>
          </w:p>
        </w:tc>
        <w:tc>
          <w:tcPr>
            <w:tcW w:type="dxa" w:w="4680"/>
            <w:shd w:fill="F0F4F8"/>
            <w:tcMar>
              <w:top w:w="100" w:type="dxa"/>
              <w:bottom w:w="100" w:type="dxa"/>
              <w:left w:w="150" w:type="dxa"/>
              <w:right w:w="150" w:type="dxa"/>
            </w:tcMar>
          </w:tcPr>
          <w:p>
            <w:pPr>
              <w:spacing w:after="40"/>
            </w:pPr>
            <w:r>
              <w:rPr>
                <w:b/>
                <w:color w:val="1B365D"/>
              </w:rPr>
              <w:t>Maximum Marks:</w:t>
            </w:r>
            <w:r>
              <w:rPr>
                <w:color w:val="222222"/>
              </w:rPr>
              <w:t xml:space="preserve"> 4 Marks</w:t>
            </w:r>
          </w:p>
        </w:tc>
      </w:tr>
    </w:tbl>
    <w:p>
      <w:pPr>
        <w:spacing w:after="160"/>
      </w:pPr>
    </w:p>
    <w:p>
      <w:pPr>
        <w:spacing w:before="240" w:after="80"/>
      </w:pPr>
      <w:r>
        <w:rPr>
          <w:rFonts w:ascii="Calibri" w:hAnsi="Calibri"/>
          <w:b/>
          <w:color w:val="1B365D"/>
          <w:sz w:val="26"/>
        </w:rPr>
        <w:t>Technical Architecture:</w:t>
      </w:r>
    </w:p>
    <w:p>
      <w:pPr>
        <w:spacing w:after="200"/>
      </w:pPr>
      <w:r>
        <w:t>The architecture models the ServiceNow automated import pipeline. System Administrators upload employee spreadsheet data (containing Employee ID, Name, Email, Department, and Location) via the ServiceNow Web UI. The data is parsed and ingested into an Import Set Staging Table. Transform Map scripts run transform and coalescing logic using Employee ID as the unique identifier. Matching existing records are updated while new employee entries are inserted into the target Employee Master Table (sys_user), with all logs captured in Import Set Logs.</w:t>
      </w:r>
    </w:p>
    <w:p>
      <w:pPr>
        <w:spacing w:before="160" w:after="80"/>
      </w:pPr>
      <w:r>
        <w:rPr>
          <w:rFonts w:ascii="Calibri" w:hAnsi="Calibri"/>
          <w:b/>
          <w:color w:val="1B365D"/>
          <w:sz w:val="24"/>
        </w:rPr>
        <w:t>Table-1 : Components &amp; Technologies:</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864"/>
            <w:shd w:fill="1B365D"/>
            <w:tcMar>
              <w:top w:w="120" w:type="dxa"/>
              <w:bottom w:w="120" w:type="dxa"/>
              <w:left w:w="80" w:type="dxa"/>
              <w:right w:w="80" w:type="dxa"/>
            </w:tcMar>
          </w:tcPr>
          <w:p>
            <w:pPr>
              <w:jc w:val="center"/>
            </w:pPr>
            <w:r>
              <w:rPr>
                <w:b/>
                <w:color w:val="FFFFFF"/>
                <w:sz w:val="19"/>
              </w:rPr>
              <w:t>S.No</w:t>
            </w:r>
          </w:p>
        </w:tc>
        <w:tc>
          <w:tcPr>
            <w:tcW w:type="dxa" w:w="2592"/>
            <w:shd w:fill="1B365D"/>
            <w:tcMar>
              <w:top w:w="120" w:type="dxa"/>
              <w:bottom w:w="120" w:type="dxa"/>
              <w:left w:w="80" w:type="dxa"/>
              <w:right w:w="80" w:type="dxa"/>
            </w:tcMar>
          </w:tcPr>
          <w:p>
            <w:pPr>
              <w:jc w:val="left"/>
            </w:pPr>
            <w:r>
              <w:rPr>
                <w:b/>
                <w:color w:val="FFFFFF"/>
                <w:sz w:val="19"/>
              </w:rPr>
              <w:t>Component</w:t>
            </w:r>
          </w:p>
        </w:tc>
        <w:tc>
          <w:tcPr>
            <w:tcW w:type="dxa" w:w="3456"/>
            <w:shd w:fill="1B365D"/>
            <w:tcMar>
              <w:top w:w="120" w:type="dxa"/>
              <w:bottom w:w="120" w:type="dxa"/>
              <w:left w:w="80" w:type="dxa"/>
              <w:right w:w="80" w:type="dxa"/>
            </w:tcMar>
          </w:tcPr>
          <w:p>
            <w:pPr>
              <w:jc w:val="left"/>
            </w:pPr>
            <w:r>
              <w:rPr>
                <w:b/>
                <w:color w:val="FFFFFF"/>
                <w:sz w:val="19"/>
              </w:rPr>
              <w:t>Description</w:t>
            </w:r>
          </w:p>
        </w:tc>
        <w:tc>
          <w:tcPr>
            <w:tcW w:type="dxa" w:w="2448"/>
            <w:shd w:fill="1B365D"/>
            <w:tcMar>
              <w:top w:w="120" w:type="dxa"/>
              <w:bottom w:w="120" w:type="dxa"/>
              <w:left w:w="80" w:type="dxa"/>
              <w:right w:w="80" w:type="dxa"/>
            </w:tcMar>
          </w:tcPr>
          <w:p>
            <w:pPr>
              <w:jc w:val="left"/>
            </w:pPr>
            <w:r>
              <w:rPr>
                <w:b/>
                <w:color w:val="FFFFFF"/>
                <w:sz w:val="19"/>
              </w:rPr>
              <w:t>Technology</w:t>
            </w:r>
          </w:p>
        </w:tc>
      </w:tr>
      <w:tr>
        <w:tc>
          <w:tcPr>
            <w:tcW w:type="dxa" w:w="864"/>
            <w:shd w:fill="F9FAFC"/>
            <w:tcMar>
              <w:top w:w="80" w:type="dxa"/>
              <w:bottom w:w="80" w:type="dxa"/>
              <w:left w:w="80" w:type="dxa"/>
              <w:right w:w="80" w:type="dxa"/>
            </w:tcMar>
          </w:tcPr>
          <w:p>
            <w:pPr>
              <w:jc w:val="center"/>
            </w:pPr>
            <w:r>
              <w:rPr>
                <w:color w:val="222222"/>
                <w:sz w:val="17"/>
              </w:rPr>
              <w:t>1</w:t>
            </w:r>
          </w:p>
        </w:tc>
        <w:tc>
          <w:tcPr>
            <w:tcW w:type="dxa" w:w="2592"/>
            <w:shd w:fill="F9FAFC"/>
            <w:tcMar>
              <w:top w:w="80" w:type="dxa"/>
              <w:bottom w:w="80" w:type="dxa"/>
              <w:left w:w="80" w:type="dxa"/>
              <w:right w:w="80" w:type="dxa"/>
            </w:tcMar>
          </w:tcPr>
          <w:p>
            <w:pPr>
              <w:jc w:val="left"/>
            </w:pPr>
            <w:r>
              <w:rPr>
                <w:color w:val="222222"/>
                <w:sz w:val="17"/>
              </w:rPr>
              <w:t>User Interface</w:t>
            </w:r>
          </w:p>
        </w:tc>
        <w:tc>
          <w:tcPr>
            <w:tcW w:type="dxa" w:w="3456"/>
            <w:shd w:fill="F9FAFC"/>
            <w:tcMar>
              <w:top w:w="80" w:type="dxa"/>
              <w:bottom w:w="80" w:type="dxa"/>
              <w:left w:w="80" w:type="dxa"/>
              <w:right w:w="80" w:type="dxa"/>
            </w:tcMar>
          </w:tcPr>
          <w:p>
            <w:pPr>
              <w:jc w:val="left"/>
            </w:pPr>
            <w:r>
              <w:rPr>
                <w:color w:val="222222"/>
                <w:sz w:val="17"/>
              </w:rPr>
              <w:t>ServiceNow System Administration Portal / Import Set Module for file upload and status monitoring.</w:t>
            </w:r>
          </w:p>
        </w:tc>
        <w:tc>
          <w:tcPr>
            <w:tcW w:type="dxa" w:w="2448"/>
            <w:shd w:fill="F9FAFC"/>
            <w:tcMar>
              <w:top w:w="80" w:type="dxa"/>
              <w:bottom w:w="80" w:type="dxa"/>
              <w:left w:w="80" w:type="dxa"/>
              <w:right w:w="80" w:type="dxa"/>
            </w:tcMar>
          </w:tcPr>
          <w:p>
            <w:pPr>
              <w:jc w:val="left"/>
            </w:pPr>
            <w:r>
              <w:rPr>
                <w:color w:val="222222"/>
                <w:sz w:val="17"/>
              </w:rPr>
              <w:t>ServiceNow Service Portal, HTML5, CSS3, JavaScript</w:t>
            </w:r>
          </w:p>
        </w:tc>
      </w:tr>
      <w:tr>
        <w:tc>
          <w:tcPr>
            <w:tcW w:type="dxa" w:w="864"/>
            <w:shd w:fill="FFFFFF"/>
            <w:tcMar>
              <w:top w:w="80" w:type="dxa"/>
              <w:bottom w:w="80" w:type="dxa"/>
              <w:left w:w="80" w:type="dxa"/>
              <w:right w:w="80" w:type="dxa"/>
            </w:tcMar>
          </w:tcPr>
          <w:p>
            <w:pPr>
              <w:jc w:val="center"/>
            </w:pPr>
            <w:r>
              <w:rPr>
                <w:color w:val="222222"/>
                <w:sz w:val="17"/>
              </w:rPr>
              <w:t>2</w:t>
            </w:r>
          </w:p>
        </w:tc>
        <w:tc>
          <w:tcPr>
            <w:tcW w:type="dxa" w:w="2592"/>
            <w:shd w:fill="FFFFFF"/>
            <w:tcMar>
              <w:top w:w="80" w:type="dxa"/>
              <w:bottom w:w="80" w:type="dxa"/>
              <w:left w:w="80" w:type="dxa"/>
              <w:right w:w="80" w:type="dxa"/>
            </w:tcMar>
          </w:tcPr>
          <w:p>
            <w:pPr>
              <w:jc w:val="left"/>
            </w:pPr>
            <w:r>
              <w:rPr>
                <w:color w:val="222222"/>
                <w:sz w:val="17"/>
              </w:rPr>
              <w:t>Application Logic-1</w:t>
            </w:r>
          </w:p>
        </w:tc>
        <w:tc>
          <w:tcPr>
            <w:tcW w:type="dxa" w:w="3456"/>
            <w:shd w:fill="FFFFFF"/>
            <w:tcMar>
              <w:top w:w="80" w:type="dxa"/>
              <w:bottom w:w="80" w:type="dxa"/>
              <w:left w:w="80" w:type="dxa"/>
              <w:right w:w="80" w:type="dxa"/>
            </w:tcMar>
          </w:tcPr>
          <w:p>
            <w:pPr>
              <w:jc w:val="left"/>
            </w:pPr>
            <w:r>
              <w:rPr>
                <w:color w:val="222222"/>
                <w:sz w:val="17"/>
              </w:rPr>
              <w:t>Import Set Engine for parsing incoming XLSX/CSV employee spreadsheets into staging columns.</w:t>
            </w:r>
          </w:p>
        </w:tc>
        <w:tc>
          <w:tcPr>
            <w:tcW w:type="dxa" w:w="2448"/>
            <w:shd w:fill="FFFFFF"/>
            <w:tcMar>
              <w:top w:w="80" w:type="dxa"/>
              <w:bottom w:w="80" w:type="dxa"/>
              <w:left w:w="80" w:type="dxa"/>
              <w:right w:w="80" w:type="dxa"/>
            </w:tcMar>
          </w:tcPr>
          <w:p>
            <w:pPr>
              <w:jc w:val="left"/>
            </w:pPr>
            <w:r>
              <w:rPr>
                <w:color w:val="222222"/>
                <w:sz w:val="17"/>
              </w:rPr>
              <w:t>ServiceNow Data Sources Engine (JavaScript / GlideRecord)</w:t>
            </w:r>
          </w:p>
        </w:tc>
      </w:tr>
      <w:tr>
        <w:tc>
          <w:tcPr>
            <w:tcW w:type="dxa" w:w="864"/>
            <w:shd w:fill="F9FAFC"/>
            <w:tcMar>
              <w:top w:w="80" w:type="dxa"/>
              <w:bottom w:w="80" w:type="dxa"/>
              <w:left w:w="80" w:type="dxa"/>
              <w:right w:w="80" w:type="dxa"/>
            </w:tcMar>
          </w:tcPr>
          <w:p>
            <w:pPr>
              <w:jc w:val="center"/>
            </w:pPr>
            <w:r>
              <w:rPr>
                <w:color w:val="222222"/>
                <w:sz w:val="17"/>
              </w:rPr>
              <w:t>3</w:t>
            </w:r>
          </w:p>
        </w:tc>
        <w:tc>
          <w:tcPr>
            <w:tcW w:type="dxa" w:w="2592"/>
            <w:shd w:fill="F9FAFC"/>
            <w:tcMar>
              <w:top w:w="80" w:type="dxa"/>
              <w:bottom w:w="80" w:type="dxa"/>
              <w:left w:w="80" w:type="dxa"/>
              <w:right w:w="80" w:type="dxa"/>
            </w:tcMar>
          </w:tcPr>
          <w:p>
            <w:pPr>
              <w:jc w:val="left"/>
            </w:pPr>
            <w:r>
              <w:rPr>
                <w:color w:val="222222"/>
                <w:sz w:val="17"/>
              </w:rPr>
              <w:t>Application Logic-2</w:t>
            </w:r>
          </w:p>
        </w:tc>
        <w:tc>
          <w:tcPr>
            <w:tcW w:type="dxa" w:w="3456"/>
            <w:shd w:fill="F9FAFC"/>
            <w:tcMar>
              <w:top w:w="80" w:type="dxa"/>
              <w:bottom w:w="80" w:type="dxa"/>
              <w:left w:w="80" w:type="dxa"/>
              <w:right w:w="80" w:type="dxa"/>
            </w:tcMar>
          </w:tcPr>
          <w:p>
            <w:pPr>
              <w:jc w:val="left"/>
            </w:pPr>
            <w:r>
              <w:rPr>
                <w:color w:val="222222"/>
                <w:sz w:val="17"/>
              </w:rPr>
              <w:t>Transform Map Engine executing field mapping, coalesce matching on Employee ID, and conditionally triggering Insert or Update actions.</w:t>
            </w:r>
          </w:p>
        </w:tc>
        <w:tc>
          <w:tcPr>
            <w:tcW w:type="dxa" w:w="2448"/>
            <w:shd w:fill="F9FAFC"/>
            <w:tcMar>
              <w:top w:w="80" w:type="dxa"/>
              <w:bottom w:w="80" w:type="dxa"/>
              <w:left w:w="80" w:type="dxa"/>
              <w:right w:w="80" w:type="dxa"/>
            </w:tcMar>
          </w:tcPr>
          <w:p>
            <w:pPr>
              <w:jc w:val="left"/>
            </w:pPr>
            <w:r>
              <w:rPr>
                <w:color w:val="222222"/>
                <w:sz w:val="17"/>
              </w:rPr>
              <w:t>ServiceNow Transform Map Scripts (GlideRecord API, JavaScript)</w:t>
            </w:r>
          </w:p>
        </w:tc>
      </w:tr>
      <w:tr>
        <w:tc>
          <w:tcPr>
            <w:tcW w:type="dxa" w:w="864"/>
            <w:shd w:fill="FFFFFF"/>
            <w:tcMar>
              <w:top w:w="80" w:type="dxa"/>
              <w:bottom w:w="80" w:type="dxa"/>
              <w:left w:w="80" w:type="dxa"/>
              <w:right w:w="80" w:type="dxa"/>
            </w:tcMar>
          </w:tcPr>
          <w:p>
            <w:pPr>
              <w:jc w:val="center"/>
            </w:pPr>
            <w:r>
              <w:rPr>
                <w:color w:val="222222"/>
                <w:sz w:val="17"/>
              </w:rPr>
              <w:t>4</w:t>
            </w:r>
          </w:p>
        </w:tc>
        <w:tc>
          <w:tcPr>
            <w:tcW w:type="dxa" w:w="2592"/>
            <w:shd w:fill="FFFFFF"/>
            <w:tcMar>
              <w:top w:w="80" w:type="dxa"/>
              <w:bottom w:w="80" w:type="dxa"/>
              <w:left w:w="80" w:type="dxa"/>
              <w:right w:w="80" w:type="dxa"/>
            </w:tcMar>
          </w:tcPr>
          <w:p>
            <w:pPr>
              <w:jc w:val="left"/>
            </w:pPr>
            <w:r>
              <w:rPr>
                <w:color w:val="222222"/>
                <w:sz w:val="17"/>
              </w:rPr>
              <w:t>Application Logic-3</w:t>
            </w:r>
          </w:p>
        </w:tc>
        <w:tc>
          <w:tcPr>
            <w:tcW w:type="dxa" w:w="3456"/>
            <w:shd w:fill="FFFFFF"/>
            <w:tcMar>
              <w:top w:w="80" w:type="dxa"/>
              <w:bottom w:w="80" w:type="dxa"/>
              <w:left w:w="80" w:type="dxa"/>
              <w:right w:w="80" w:type="dxa"/>
            </w:tcMar>
          </w:tcPr>
          <w:p>
            <w:pPr>
              <w:jc w:val="left"/>
            </w:pPr>
            <w:r>
              <w:rPr>
                <w:color w:val="222222"/>
                <w:sz w:val="17"/>
              </w:rPr>
              <w:t>Validation &amp; Error Handling logic ensuring non-null Employee ID and valid email formatting before commit.</w:t>
            </w:r>
          </w:p>
        </w:tc>
        <w:tc>
          <w:tcPr>
            <w:tcW w:type="dxa" w:w="2448"/>
            <w:shd w:fill="FFFFFF"/>
            <w:tcMar>
              <w:top w:w="80" w:type="dxa"/>
              <w:bottom w:w="80" w:type="dxa"/>
              <w:left w:w="80" w:type="dxa"/>
              <w:right w:w="80" w:type="dxa"/>
            </w:tcMar>
          </w:tcPr>
          <w:p>
            <w:pPr>
              <w:jc w:val="left"/>
            </w:pPr>
            <w:r>
              <w:rPr>
                <w:color w:val="222222"/>
                <w:sz w:val="17"/>
              </w:rPr>
              <w:t>ServiceNow On-Before / On-After Transform Scripts</w:t>
            </w:r>
          </w:p>
        </w:tc>
      </w:tr>
      <w:tr>
        <w:tc>
          <w:tcPr>
            <w:tcW w:type="dxa" w:w="864"/>
            <w:shd w:fill="F9FAFC"/>
            <w:tcMar>
              <w:top w:w="80" w:type="dxa"/>
              <w:bottom w:w="80" w:type="dxa"/>
              <w:left w:w="80" w:type="dxa"/>
              <w:right w:w="80" w:type="dxa"/>
            </w:tcMar>
          </w:tcPr>
          <w:p>
            <w:pPr>
              <w:jc w:val="center"/>
            </w:pPr>
            <w:r>
              <w:rPr>
                <w:color w:val="222222"/>
                <w:sz w:val="17"/>
              </w:rPr>
              <w:t>5</w:t>
            </w:r>
          </w:p>
        </w:tc>
        <w:tc>
          <w:tcPr>
            <w:tcW w:type="dxa" w:w="2592"/>
            <w:shd w:fill="F9FAFC"/>
            <w:tcMar>
              <w:top w:w="80" w:type="dxa"/>
              <w:bottom w:w="80" w:type="dxa"/>
              <w:left w:w="80" w:type="dxa"/>
              <w:right w:w="80" w:type="dxa"/>
            </w:tcMar>
          </w:tcPr>
          <w:p>
            <w:pPr>
              <w:jc w:val="left"/>
            </w:pPr>
            <w:r>
              <w:rPr>
                <w:color w:val="222222"/>
                <w:sz w:val="17"/>
              </w:rPr>
              <w:t>Database</w:t>
            </w:r>
          </w:p>
        </w:tc>
        <w:tc>
          <w:tcPr>
            <w:tcW w:type="dxa" w:w="3456"/>
            <w:shd w:fill="F9FAFC"/>
            <w:tcMar>
              <w:top w:w="80" w:type="dxa"/>
              <w:bottom w:w="80" w:type="dxa"/>
              <w:left w:w="80" w:type="dxa"/>
              <w:right w:w="80" w:type="dxa"/>
            </w:tcMar>
          </w:tcPr>
          <w:p>
            <w:pPr>
              <w:jc w:val="left"/>
            </w:pPr>
            <w:r>
              <w:rPr>
                <w:color w:val="222222"/>
                <w:sz w:val="17"/>
              </w:rPr>
              <w:t>Temporary Staging Table (`u_imp_employee`) holding raw imported spreadsheet rows.</w:t>
            </w:r>
          </w:p>
        </w:tc>
        <w:tc>
          <w:tcPr>
            <w:tcW w:type="dxa" w:w="2448"/>
            <w:shd w:fill="F9FAFC"/>
            <w:tcMar>
              <w:top w:w="80" w:type="dxa"/>
              <w:bottom w:w="80" w:type="dxa"/>
              <w:left w:w="80" w:type="dxa"/>
              <w:right w:w="80" w:type="dxa"/>
            </w:tcMar>
          </w:tcPr>
          <w:p>
            <w:pPr>
              <w:jc w:val="left"/>
            </w:pPr>
            <w:r>
              <w:rPr>
                <w:color w:val="222222"/>
                <w:sz w:val="17"/>
              </w:rPr>
              <w:t>ServiceNow Import Set Table (Relational DB)</w:t>
            </w:r>
          </w:p>
        </w:tc>
      </w:tr>
      <w:tr>
        <w:tc>
          <w:tcPr>
            <w:tcW w:type="dxa" w:w="864"/>
            <w:shd w:fill="FFFFFF"/>
            <w:tcMar>
              <w:top w:w="80" w:type="dxa"/>
              <w:bottom w:w="80" w:type="dxa"/>
              <w:left w:w="80" w:type="dxa"/>
              <w:right w:w="80" w:type="dxa"/>
            </w:tcMar>
          </w:tcPr>
          <w:p>
            <w:pPr>
              <w:jc w:val="center"/>
            </w:pPr>
            <w:r>
              <w:rPr>
                <w:color w:val="222222"/>
                <w:sz w:val="17"/>
              </w:rPr>
              <w:t>6</w:t>
            </w:r>
          </w:p>
        </w:tc>
        <w:tc>
          <w:tcPr>
            <w:tcW w:type="dxa" w:w="2592"/>
            <w:shd w:fill="FFFFFF"/>
            <w:tcMar>
              <w:top w:w="80" w:type="dxa"/>
              <w:bottom w:w="80" w:type="dxa"/>
              <w:left w:w="80" w:type="dxa"/>
              <w:right w:w="80" w:type="dxa"/>
            </w:tcMar>
          </w:tcPr>
          <w:p>
            <w:pPr>
              <w:jc w:val="left"/>
            </w:pPr>
            <w:r>
              <w:rPr>
                <w:color w:val="222222"/>
                <w:sz w:val="17"/>
              </w:rPr>
              <w:t>Cloud Database</w:t>
            </w:r>
          </w:p>
        </w:tc>
        <w:tc>
          <w:tcPr>
            <w:tcW w:type="dxa" w:w="3456"/>
            <w:shd w:fill="FFFFFF"/>
            <w:tcMar>
              <w:top w:w="80" w:type="dxa"/>
              <w:bottom w:w="80" w:type="dxa"/>
              <w:left w:w="80" w:type="dxa"/>
              <w:right w:w="80" w:type="dxa"/>
            </w:tcMar>
          </w:tcPr>
          <w:p>
            <w:pPr>
              <w:jc w:val="left"/>
            </w:pPr>
            <w:r>
              <w:rPr>
                <w:color w:val="222222"/>
                <w:sz w:val="17"/>
              </w:rPr>
              <w:t>Target Employee Master Table (`sys_user` / Custom Employee Table) storing active employee profiles.</w:t>
            </w:r>
          </w:p>
        </w:tc>
        <w:tc>
          <w:tcPr>
            <w:tcW w:type="dxa" w:w="2448"/>
            <w:shd w:fill="FFFFFF"/>
            <w:tcMar>
              <w:top w:w="80" w:type="dxa"/>
              <w:bottom w:w="80" w:type="dxa"/>
              <w:left w:w="80" w:type="dxa"/>
              <w:right w:w="80" w:type="dxa"/>
            </w:tcMar>
          </w:tcPr>
          <w:p>
            <w:pPr>
              <w:jc w:val="left"/>
            </w:pPr>
            <w:r>
              <w:rPr>
                <w:color w:val="222222"/>
                <w:sz w:val="17"/>
              </w:rPr>
              <w:t>ServiceNow Cloud Platform Database (MariaDB/MySQL backend)</w:t>
            </w:r>
          </w:p>
        </w:tc>
      </w:tr>
      <w:tr>
        <w:tc>
          <w:tcPr>
            <w:tcW w:type="dxa" w:w="864"/>
            <w:shd w:fill="F9FAFC"/>
            <w:tcMar>
              <w:top w:w="80" w:type="dxa"/>
              <w:bottom w:w="80" w:type="dxa"/>
              <w:left w:w="80" w:type="dxa"/>
              <w:right w:w="80" w:type="dxa"/>
            </w:tcMar>
          </w:tcPr>
          <w:p>
            <w:pPr>
              <w:jc w:val="center"/>
            </w:pPr>
            <w:r>
              <w:rPr>
                <w:color w:val="222222"/>
                <w:sz w:val="17"/>
              </w:rPr>
              <w:t>7</w:t>
            </w:r>
          </w:p>
        </w:tc>
        <w:tc>
          <w:tcPr>
            <w:tcW w:type="dxa" w:w="2592"/>
            <w:shd w:fill="F9FAFC"/>
            <w:tcMar>
              <w:top w:w="80" w:type="dxa"/>
              <w:bottom w:w="80" w:type="dxa"/>
              <w:left w:w="80" w:type="dxa"/>
              <w:right w:w="80" w:type="dxa"/>
            </w:tcMar>
          </w:tcPr>
          <w:p>
            <w:pPr>
              <w:jc w:val="left"/>
            </w:pPr>
            <w:r>
              <w:rPr>
                <w:color w:val="222222"/>
                <w:sz w:val="17"/>
              </w:rPr>
              <w:t>File Storage</w:t>
            </w:r>
          </w:p>
        </w:tc>
        <w:tc>
          <w:tcPr>
            <w:tcW w:type="dxa" w:w="3456"/>
            <w:shd w:fill="F9FAFC"/>
            <w:tcMar>
              <w:top w:w="80" w:type="dxa"/>
              <w:bottom w:w="80" w:type="dxa"/>
              <w:left w:w="80" w:type="dxa"/>
              <w:right w:w="80" w:type="dxa"/>
            </w:tcMar>
          </w:tcPr>
          <w:p>
            <w:pPr>
              <w:jc w:val="left"/>
            </w:pPr>
            <w:r>
              <w:rPr>
                <w:color w:val="222222"/>
                <w:sz w:val="17"/>
              </w:rPr>
              <w:t>Storage repository for uploaded raw Excel/CSV employee dataset files.</w:t>
            </w:r>
          </w:p>
        </w:tc>
        <w:tc>
          <w:tcPr>
            <w:tcW w:type="dxa" w:w="2448"/>
            <w:shd w:fill="F9FAFC"/>
            <w:tcMar>
              <w:top w:w="80" w:type="dxa"/>
              <w:bottom w:w="80" w:type="dxa"/>
              <w:left w:w="80" w:type="dxa"/>
              <w:right w:w="80" w:type="dxa"/>
            </w:tcMar>
          </w:tcPr>
          <w:p>
            <w:pPr>
              <w:jc w:val="left"/>
            </w:pPr>
            <w:r>
              <w:rPr>
                <w:color w:val="222222"/>
                <w:sz w:val="17"/>
              </w:rPr>
              <w:t>ServiceNow Sys Attachment Table / Instance Storage</w:t>
            </w:r>
          </w:p>
        </w:tc>
      </w:tr>
      <w:tr>
        <w:tc>
          <w:tcPr>
            <w:tcW w:type="dxa" w:w="864"/>
            <w:shd w:fill="FFFFFF"/>
            <w:tcMar>
              <w:top w:w="80" w:type="dxa"/>
              <w:bottom w:w="80" w:type="dxa"/>
              <w:left w:w="80" w:type="dxa"/>
              <w:right w:w="80" w:type="dxa"/>
            </w:tcMar>
          </w:tcPr>
          <w:p>
            <w:pPr>
              <w:jc w:val="center"/>
            </w:pPr>
            <w:r>
              <w:rPr>
                <w:color w:val="222222"/>
                <w:sz w:val="17"/>
              </w:rPr>
              <w:t>8</w:t>
            </w:r>
          </w:p>
        </w:tc>
        <w:tc>
          <w:tcPr>
            <w:tcW w:type="dxa" w:w="2592"/>
            <w:shd w:fill="FFFFFF"/>
            <w:tcMar>
              <w:top w:w="80" w:type="dxa"/>
              <w:bottom w:w="80" w:type="dxa"/>
              <w:left w:w="80" w:type="dxa"/>
              <w:right w:w="80" w:type="dxa"/>
            </w:tcMar>
          </w:tcPr>
          <w:p>
            <w:pPr>
              <w:jc w:val="left"/>
            </w:pPr>
            <w:r>
              <w:rPr>
                <w:color w:val="222222"/>
                <w:sz w:val="17"/>
              </w:rPr>
              <w:t>External API-1</w:t>
            </w:r>
          </w:p>
        </w:tc>
        <w:tc>
          <w:tcPr>
            <w:tcW w:type="dxa" w:w="3456"/>
            <w:shd w:fill="FFFFFF"/>
            <w:tcMar>
              <w:top w:w="80" w:type="dxa"/>
              <w:bottom w:w="80" w:type="dxa"/>
              <w:left w:w="80" w:type="dxa"/>
              <w:right w:w="80" w:type="dxa"/>
            </w:tcMar>
          </w:tcPr>
          <w:p>
            <w:pPr>
              <w:jc w:val="left"/>
            </w:pPr>
            <w:r>
              <w:rPr>
                <w:color w:val="222222"/>
                <w:sz w:val="17"/>
              </w:rPr>
              <w:t>REST API Integration endpoint allowing automated external batch spreadsheet uploads.</w:t>
            </w:r>
          </w:p>
        </w:tc>
        <w:tc>
          <w:tcPr>
            <w:tcW w:type="dxa" w:w="2448"/>
            <w:shd w:fill="FFFFFF"/>
            <w:tcMar>
              <w:top w:w="80" w:type="dxa"/>
              <w:bottom w:w="80" w:type="dxa"/>
              <w:left w:w="80" w:type="dxa"/>
              <w:right w:w="80" w:type="dxa"/>
            </w:tcMar>
          </w:tcPr>
          <w:p>
            <w:pPr>
              <w:jc w:val="left"/>
            </w:pPr>
            <w:r>
              <w:rPr>
                <w:color w:val="222222"/>
                <w:sz w:val="17"/>
              </w:rPr>
              <w:t>ServiceNow Table API / Import Set API (REST / JSON)</w:t>
            </w:r>
          </w:p>
        </w:tc>
      </w:tr>
      <w:tr>
        <w:tc>
          <w:tcPr>
            <w:tcW w:type="dxa" w:w="864"/>
            <w:shd w:fill="F9FAFC"/>
            <w:tcMar>
              <w:top w:w="80" w:type="dxa"/>
              <w:bottom w:w="80" w:type="dxa"/>
              <w:left w:w="80" w:type="dxa"/>
              <w:right w:w="80" w:type="dxa"/>
            </w:tcMar>
          </w:tcPr>
          <w:p>
            <w:pPr>
              <w:jc w:val="center"/>
            </w:pPr>
            <w:r>
              <w:rPr>
                <w:color w:val="222222"/>
                <w:sz w:val="17"/>
              </w:rPr>
              <w:t>9</w:t>
            </w:r>
          </w:p>
        </w:tc>
        <w:tc>
          <w:tcPr>
            <w:tcW w:type="dxa" w:w="2592"/>
            <w:shd w:fill="F9FAFC"/>
            <w:tcMar>
              <w:top w:w="80" w:type="dxa"/>
              <w:bottom w:w="80" w:type="dxa"/>
              <w:left w:w="80" w:type="dxa"/>
              <w:right w:w="80" w:type="dxa"/>
            </w:tcMar>
          </w:tcPr>
          <w:p>
            <w:pPr>
              <w:jc w:val="left"/>
            </w:pPr>
            <w:r>
              <w:rPr>
                <w:color w:val="222222"/>
                <w:sz w:val="17"/>
              </w:rPr>
              <w:t>External API-2</w:t>
            </w:r>
          </w:p>
        </w:tc>
        <w:tc>
          <w:tcPr>
            <w:tcW w:type="dxa" w:w="3456"/>
            <w:shd w:fill="F9FAFC"/>
            <w:tcMar>
              <w:top w:w="80" w:type="dxa"/>
              <w:bottom w:w="80" w:type="dxa"/>
              <w:left w:w="80" w:type="dxa"/>
              <w:right w:w="80" w:type="dxa"/>
            </w:tcMar>
          </w:tcPr>
          <w:p>
            <w:pPr>
              <w:jc w:val="left"/>
            </w:pPr>
            <w:r>
              <w:rPr>
                <w:color w:val="222222"/>
                <w:sz w:val="17"/>
              </w:rPr>
              <w:t>Notification service triggering email alerts upon successful or failed import batch completion.</w:t>
            </w:r>
          </w:p>
        </w:tc>
        <w:tc>
          <w:tcPr>
            <w:tcW w:type="dxa" w:w="2448"/>
            <w:shd w:fill="F9FAFC"/>
            <w:tcMar>
              <w:top w:w="80" w:type="dxa"/>
              <w:bottom w:w="80" w:type="dxa"/>
              <w:left w:w="80" w:type="dxa"/>
              <w:right w:w="80" w:type="dxa"/>
            </w:tcMar>
          </w:tcPr>
          <w:p>
            <w:pPr>
              <w:jc w:val="left"/>
            </w:pPr>
            <w:r>
              <w:rPr>
                <w:color w:val="222222"/>
                <w:sz w:val="17"/>
              </w:rPr>
              <w:t>ServiceNow Email Notification Engine (SMTP / REST)</w:t>
            </w:r>
          </w:p>
        </w:tc>
      </w:tr>
      <w:tr>
        <w:tc>
          <w:tcPr>
            <w:tcW w:type="dxa" w:w="864"/>
            <w:shd w:fill="FFFFFF"/>
            <w:tcMar>
              <w:top w:w="80" w:type="dxa"/>
              <w:bottom w:w="80" w:type="dxa"/>
              <w:left w:w="80" w:type="dxa"/>
              <w:right w:w="80" w:type="dxa"/>
            </w:tcMar>
          </w:tcPr>
          <w:p>
            <w:pPr>
              <w:jc w:val="center"/>
            </w:pPr>
            <w:r>
              <w:rPr>
                <w:color w:val="222222"/>
                <w:sz w:val="17"/>
              </w:rPr>
              <w:t>10</w:t>
            </w:r>
          </w:p>
        </w:tc>
        <w:tc>
          <w:tcPr>
            <w:tcW w:type="dxa" w:w="2592"/>
            <w:shd w:fill="FFFFFF"/>
            <w:tcMar>
              <w:top w:w="80" w:type="dxa"/>
              <w:bottom w:w="80" w:type="dxa"/>
              <w:left w:w="80" w:type="dxa"/>
              <w:right w:w="80" w:type="dxa"/>
            </w:tcMar>
          </w:tcPr>
          <w:p>
            <w:pPr>
              <w:jc w:val="left"/>
            </w:pPr>
            <w:r>
              <w:rPr>
                <w:color w:val="222222"/>
                <w:sz w:val="17"/>
              </w:rPr>
              <w:t>Machine Learning Model</w:t>
            </w:r>
          </w:p>
        </w:tc>
        <w:tc>
          <w:tcPr>
            <w:tcW w:type="dxa" w:w="3456"/>
            <w:shd w:fill="FFFFFF"/>
            <w:tcMar>
              <w:top w:w="80" w:type="dxa"/>
              <w:bottom w:w="80" w:type="dxa"/>
              <w:left w:w="80" w:type="dxa"/>
              <w:right w:w="80" w:type="dxa"/>
            </w:tcMar>
          </w:tcPr>
          <w:p>
            <w:pPr>
              <w:jc w:val="left"/>
            </w:pPr>
            <w:r>
              <w:rPr>
                <w:color w:val="222222"/>
                <w:sz w:val="17"/>
              </w:rPr>
              <w:t>N/A - Not required for rule-based ETL data transformation.</w:t>
            </w:r>
          </w:p>
        </w:tc>
        <w:tc>
          <w:tcPr>
            <w:tcW w:type="dxa" w:w="2448"/>
            <w:shd w:fill="FFFFFF"/>
            <w:tcMar>
              <w:top w:w="80" w:type="dxa"/>
              <w:bottom w:w="80" w:type="dxa"/>
              <w:left w:w="80" w:type="dxa"/>
              <w:right w:w="80" w:type="dxa"/>
            </w:tcMar>
          </w:tcPr>
          <w:p>
            <w:pPr>
              <w:jc w:val="left"/>
            </w:pPr>
            <w:r>
              <w:rPr>
                <w:color w:val="222222"/>
                <w:sz w:val="17"/>
              </w:rPr>
              <w:t>N/A</w:t>
            </w:r>
          </w:p>
        </w:tc>
      </w:tr>
      <w:tr>
        <w:tc>
          <w:tcPr>
            <w:tcW w:type="dxa" w:w="864"/>
            <w:shd w:fill="F9FAFC"/>
            <w:tcMar>
              <w:top w:w="80" w:type="dxa"/>
              <w:bottom w:w="80" w:type="dxa"/>
              <w:left w:w="80" w:type="dxa"/>
              <w:right w:w="80" w:type="dxa"/>
            </w:tcMar>
          </w:tcPr>
          <w:p>
            <w:pPr>
              <w:jc w:val="center"/>
            </w:pPr>
            <w:r>
              <w:rPr>
                <w:color w:val="222222"/>
                <w:sz w:val="17"/>
              </w:rPr>
              <w:t>11</w:t>
            </w:r>
          </w:p>
        </w:tc>
        <w:tc>
          <w:tcPr>
            <w:tcW w:type="dxa" w:w="2592"/>
            <w:shd w:fill="F9FAFC"/>
            <w:tcMar>
              <w:top w:w="80" w:type="dxa"/>
              <w:bottom w:w="80" w:type="dxa"/>
              <w:left w:w="80" w:type="dxa"/>
              <w:right w:w="80" w:type="dxa"/>
            </w:tcMar>
          </w:tcPr>
          <w:p>
            <w:pPr>
              <w:jc w:val="left"/>
            </w:pPr>
            <w:r>
              <w:rPr>
                <w:color w:val="222222"/>
                <w:sz w:val="17"/>
              </w:rPr>
              <w:t>Infrastructure (Server / Cloud)</w:t>
            </w:r>
          </w:p>
        </w:tc>
        <w:tc>
          <w:tcPr>
            <w:tcW w:type="dxa" w:w="3456"/>
            <w:shd w:fill="F9FAFC"/>
            <w:tcMar>
              <w:top w:w="80" w:type="dxa"/>
              <w:bottom w:w="80" w:type="dxa"/>
              <w:left w:w="80" w:type="dxa"/>
              <w:right w:w="80" w:type="dxa"/>
            </w:tcMar>
          </w:tcPr>
          <w:p>
            <w:pPr>
              <w:jc w:val="left"/>
            </w:pPr>
            <w:r>
              <w:rPr>
                <w:color w:val="222222"/>
                <w:sz w:val="17"/>
              </w:rPr>
              <w:t>Cloud Server Configuration: Enterprise ServiceNow Cloud Instance SaaS deployment.</w:t>
            </w:r>
          </w:p>
        </w:tc>
        <w:tc>
          <w:tcPr>
            <w:tcW w:type="dxa" w:w="2448"/>
            <w:shd w:fill="F9FAFC"/>
            <w:tcMar>
              <w:top w:w="80" w:type="dxa"/>
              <w:bottom w:w="80" w:type="dxa"/>
              <w:left w:w="80" w:type="dxa"/>
              <w:right w:w="80" w:type="dxa"/>
            </w:tcMar>
          </w:tcPr>
          <w:p>
            <w:pPr>
              <w:jc w:val="left"/>
            </w:pPr>
            <w:r>
              <w:rPr>
                <w:color w:val="222222"/>
                <w:sz w:val="17"/>
              </w:rPr>
              <w:t>ServiceNow Now Platform Cloud (Multi-Instance Architecture)</w:t>
            </w:r>
          </w:p>
        </w:tc>
      </w:tr>
    </w:tbl>
    <w:p>
      <w:pPr>
        <w:spacing w:after="240"/>
      </w:pPr>
    </w:p>
    <w:p>
      <w:pPr>
        <w:spacing w:before="160" w:after="80"/>
      </w:pPr>
      <w:r>
        <w:rPr>
          <w:rFonts w:ascii="Calibri" w:hAnsi="Calibri"/>
          <w:b/>
          <w:color w:val="1B365D"/>
          <w:sz w:val="24"/>
        </w:rPr>
        <w:t>Table-2: Application Characteristics:</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864"/>
            <w:shd w:fill="1B365D"/>
            <w:tcMar>
              <w:top w:w="120" w:type="dxa"/>
              <w:bottom w:w="120" w:type="dxa"/>
              <w:left w:w="80" w:type="dxa"/>
              <w:right w:w="80" w:type="dxa"/>
            </w:tcMar>
          </w:tcPr>
          <w:p>
            <w:pPr>
              <w:jc w:val="center"/>
            </w:pPr>
            <w:r>
              <w:rPr>
                <w:b/>
                <w:color w:val="FFFFFF"/>
                <w:sz w:val="19"/>
              </w:rPr>
              <w:t>S.No</w:t>
            </w:r>
          </w:p>
        </w:tc>
        <w:tc>
          <w:tcPr>
            <w:tcW w:type="dxa" w:w="2592"/>
            <w:shd w:fill="1B365D"/>
            <w:tcMar>
              <w:top w:w="120" w:type="dxa"/>
              <w:bottom w:w="120" w:type="dxa"/>
              <w:left w:w="80" w:type="dxa"/>
              <w:right w:w="80" w:type="dxa"/>
            </w:tcMar>
          </w:tcPr>
          <w:p>
            <w:pPr>
              <w:jc w:val="left"/>
            </w:pPr>
            <w:r>
              <w:rPr>
                <w:b/>
                <w:color w:val="FFFFFF"/>
                <w:sz w:val="19"/>
              </w:rPr>
              <w:t>Characteristics</w:t>
            </w:r>
          </w:p>
        </w:tc>
        <w:tc>
          <w:tcPr>
            <w:tcW w:type="dxa" w:w="3456"/>
            <w:shd w:fill="1B365D"/>
            <w:tcMar>
              <w:top w:w="120" w:type="dxa"/>
              <w:bottom w:w="120" w:type="dxa"/>
              <w:left w:w="80" w:type="dxa"/>
              <w:right w:w="80" w:type="dxa"/>
            </w:tcMar>
          </w:tcPr>
          <w:p>
            <w:pPr>
              <w:jc w:val="left"/>
            </w:pPr>
            <w:r>
              <w:rPr>
                <w:b/>
                <w:color w:val="FFFFFF"/>
                <w:sz w:val="19"/>
              </w:rPr>
              <w:t>Description</w:t>
            </w:r>
          </w:p>
        </w:tc>
        <w:tc>
          <w:tcPr>
            <w:tcW w:type="dxa" w:w="2448"/>
            <w:shd w:fill="1B365D"/>
            <w:tcMar>
              <w:top w:w="120" w:type="dxa"/>
              <w:bottom w:w="120" w:type="dxa"/>
              <w:left w:w="80" w:type="dxa"/>
              <w:right w:w="80" w:type="dxa"/>
            </w:tcMar>
          </w:tcPr>
          <w:p>
            <w:pPr>
              <w:jc w:val="left"/>
            </w:pPr>
            <w:r>
              <w:rPr>
                <w:b/>
                <w:color w:val="FFFFFF"/>
                <w:sz w:val="19"/>
              </w:rPr>
              <w:t>Technology</w:t>
            </w:r>
          </w:p>
        </w:tc>
      </w:tr>
      <w:tr>
        <w:tc>
          <w:tcPr>
            <w:tcW w:type="dxa" w:w="864"/>
            <w:shd w:fill="F9FAFC"/>
            <w:tcMar>
              <w:top w:w="80" w:type="dxa"/>
              <w:bottom w:w="80" w:type="dxa"/>
              <w:left w:w="80" w:type="dxa"/>
              <w:right w:w="80" w:type="dxa"/>
            </w:tcMar>
          </w:tcPr>
          <w:p>
            <w:pPr>
              <w:jc w:val="center"/>
            </w:pPr>
            <w:r>
              <w:rPr>
                <w:color w:val="222222"/>
                <w:sz w:val="17"/>
              </w:rPr>
              <w:t>1</w:t>
            </w:r>
          </w:p>
        </w:tc>
        <w:tc>
          <w:tcPr>
            <w:tcW w:type="dxa" w:w="2592"/>
            <w:shd w:fill="F9FAFC"/>
            <w:tcMar>
              <w:top w:w="80" w:type="dxa"/>
              <w:bottom w:w="80" w:type="dxa"/>
              <w:left w:w="80" w:type="dxa"/>
              <w:right w:w="80" w:type="dxa"/>
            </w:tcMar>
          </w:tcPr>
          <w:p>
            <w:pPr>
              <w:jc w:val="left"/>
            </w:pPr>
            <w:r>
              <w:rPr>
                <w:color w:val="222222"/>
                <w:sz w:val="17"/>
              </w:rPr>
              <w:t>Open-Source Frameworks</w:t>
            </w:r>
          </w:p>
        </w:tc>
        <w:tc>
          <w:tcPr>
            <w:tcW w:type="dxa" w:w="3456"/>
            <w:shd w:fill="F9FAFC"/>
            <w:tcMar>
              <w:top w:w="80" w:type="dxa"/>
              <w:bottom w:w="80" w:type="dxa"/>
              <w:left w:w="80" w:type="dxa"/>
              <w:right w:w="80" w:type="dxa"/>
            </w:tcMar>
          </w:tcPr>
          <w:p>
            <w:pPr>
              <w:jc w:val="left"/>
            </w:pPr>
            <w:r>
              <w:rPr>
                <w:color w:val="222222"/>
                <w:sz w:val="17"/>
              </w:rPr>
              <w:t>Standard web client libraries utilized in ServiceNow UI and Node.js REST API clients.</w:t>
            </w:r>
          </w:p>
        </w:tc>
        <w:tc>
          <w:tcPr>
            <w:tcW w:type="dxa" w:w="2448"/>
            <w:shd w:fill="F9FAFC"/>
            <w:tcMar>
              <w:top w:w="80" w:type="dxa"/>
              <w:bottom w:w="80" w:type="dxa"/>
              <w:left w:w="80" w:type="dxa"/>
              <w:right w:w="80" w:type="dxa"/>
            </w:tcMar>
          </w:tcPr>
          <w:p>
            <w:pPr>
              <w:jc w:val="left"/>
            </w:pPr>
            <w:r>
              <w:rPr>
                <w:color w:val="222222"/>
                <w:sz w:val="17"/>
              </w:rPr>
              <w:t>JavaScript (ES6), HTML5, CSS3, REST Web Services</w:t>
            </w:r>
          </w:p>
        </w:tc>
      </w:tr>
      <w:tr>
        <w:tc>
          <w:tcPr>
            <w:tcW w:type="dxa" w:w="864"/>
            <w:shd w:fill="FFFFFF"/>
            <w:tcMar>
              <w:top w:w="80" w:type="dxa"/>
              <w:bottom w:w="80" w:type="dxa"/>
              <w:left w:w="80" w:type="dxa"/>
              <w:right w:w="80" w:type="dxa"/>
            </w:tcMar>
          </w:tcPr>
          <w:p>
            <w:pPr>
              <w:jc w:val="center"/>
            </w:pPr>
            <w:r>
              <w:rPr>
                <w:color w:val="222222"/>
                <w:sz w:val="17"/>
              </w:rPr>
              <w:t>2</w:t>
            </w:r>
          </w:p>
        </w:tc>
        <w:tc>
          <w:tcPr>
            <w:tcW w:type="dxa" w:w="2592"/>
            <w:shd w:fill="FFFFFF"/>
            <w:tcMar>
              <w:top w:w="80" w:type="dxa"/>
              <w:bottom w:w="80" w:type="dxa"/>
              <w:left w:w="80" w:type="dxa"/>
              <w:right w:w="80" w:type="dxa"/>
            </w:tcMar>
          </w:tcPr>
          <w:p>
            <w:pPr>
              <w:jc w:val="left"/>
            </w:pPr>
            <w:r>
              <w:rPr>
                <w:color w:val="222222"/>
                <w:sz w:val="17"/>
              </w:rPr>
              <w:t>Security Implementations</w:t>
            </w:r>
          </w:p>
        </w:tc>
        <w:tc>
          <w:tcPr>
            <w:tcW w:type="dxa" w:w="3456"/>
            <w:shd w:fill="FFFFFF"/>
            <w:tcMar>
              <w:top w:w="80" w:type="dxa"/>
              <w:bottom w:w="80" w:type="dxa"/>
              <w:left w:w="80" w:type="dxa"/>
              <w:right w:w="80" w:type="dxa"/>
            </w:tcMar>
          </w:tcPr>
          <w:p>
            <w:pPr>
              <w:jc w:val="left"/>
            </w:pPr>
            <w:r>
              <w:rPr>
                <w:color w:val="222222"/>
                <w:sz w:val="17"/>
              </w:rPr>
              <w:t>Role-Based Access Control (RBAC via `admin` &amp; `import_admin` roles), TLS 1.3 encryption in transit, AES-256 at rest, and OAuth 2.0 authentication for REST APIs.</w:t>
            </w:r>
          </w:p>
        </w:tc>
        <w:tc>
          <w:tcPr>
            <w:tcW w:type="dxa" w:w="2448"/>
            <w:shd w:fill="FFFFFF"/>
            <w:tcMar>
              <w:top w:w="80" w:type="dxa"/>
              <w:bottom w:w="80" w:type="dxa"/>
              <w:left w:w="80" w:type="dxa"/>
              <w:right w:w="80" w:type="dxa"/>
            </w:tcMar>
          </w:tcPr>
          <w:p>
            <w:pPr>
              <w:jc w:val="left"/>
            </w:pPr>
            <w:r>
              <w:rPr>
                <w:color w:val="222222"/>
                <w:sz w:val="17"/>
              </w:rPr>
              <w:t>ServiceNow Access Control Lists (ACLs), HTTPS/TLS, OAuth 2.0</w:t>
            </w:r>
          </w:p>
        </w:tc>
      </w:tr>
      <w:tr>
        <w:tc>
          <w:tcPr>
            <w:tcW w:type="dxa" w:w="864"/>
            <w:shd w:fill="F9FAFC"/>
            <w:tcMar>
              <w:top w:w="80" w:type="dxa"/>
              <w:bottom w:w="80" w:type="dxa"/>
              <w:left w:w="80" w:type="dxa"/>
              <w:right w:w="80" w:type="dxa"/>
            </w:tcMar>
          </w:tcPr>
          <w:p>
            <w:pPr>
              <w:jc w:val="center"/>
            </w:pPr>
            <w:r>
              <w:rPr>
                <w:color w:val="222222"/>
                <w:sz w:val="17"/>
              </w:rPr>
              <w:t>3</w:t>
            </w:r>
          </w:p>
        </w:tc>
        <w:tc>
          <w:tcPr>
            <w:tcW w:type="dxa" w:w="2592"/>
            <w:shd w:fill="F9FAFC"/>
            <w:tcMar>
              <w:top w:w="80" w:type="dxa"/>
              <w:bottom w:w="80" w:type="dxa"/>
              <w:left w:w="80" w:type="dxa"/>
              <w:right w:w="80" w:type="dxa"/>
            </w:tcMar>
          </w:tcPr>
          <w:p>
            <w:pPr>
              <w:jc w:val="left"/>
            </w:pPr>
            <w:r>
              <w:rPr>
                <w:color w:val="222222"/>
                <w:sz w:val="17"/>
              </w:rPr>
              <w:t>Scalable Architecture</w:t>
            </w:r>
          </w:p>
        </w:tc>
        <w:tc>
          <w:tcPr>
            <w:tcW w:type="dxa" w:w="3456"/>
            <w:shd w:fill="F9FAFC"/>
            <w:tcMar>
              <w:top w:w="80" w:type="dxa"/>
              <w:bottom w:w="80" w:type="dxa"/>
              <w:left w:w="80" w:type="dxa"/>
              <w:right w:w="80" w:type="dxa"/>
            </w:tcMar>
          </w:tcPr>
          <w:p>
            <w:pPr>
              <w:jc w:val="left"/>
            </w:pPr>
            <w:r>
              <w:rPr>
                <w:color w:val="222222"/>
                <w:sz w:val="17"/>
              </w:rPr>
              <w:t>ServiceNow high-availability multi-instance architecture supporting async multi-threaded batch transform maps for large bulk datasets.</w:t>
            </w:r>
          </w:p>
        </w:tc>
        <w:tc>
          <w:tcPr>
            <w:tcW w:type="dxa" w:w="2448"/>
            <w:shd w:fill="F9FAFC"/>
            <w:tcMar>
              <w:top w:w="80" w:type="dxa"/>
              <w:bottom w:w="80" w:type="dxa"/>
              <w:left w:w="80" w:type="dxa"/>
              <w:right w:w="80" w:type="dxa"/>
            </w:tcMar>
          </w:tcPr>
          <w:p>
            <w:pPr>
              <w:jc w:val="left"/>
            </w:pPr>
            <w:r>
              <w:rPr>
                <w:color w:val="222222"/>
                <w:sz w:val="17"/>
              </w:rPr>
              <w:t>ServiceNow Import Set Engine &amp; Async GlideRecord Transformer</w:t>
            </w:r>
          </w:p>
        </w:tc>
      </w:tr>
      <w:tr>
        <w:tc>
          <w:tcPr>
            <w:tcW w:type="dxa" w:w="864"/>
            <w:shd w:fill="FFFFFF"/>
            <w:tcMar>
              <w:top w:w="80" w:type="dxa"/>
              <w:bottom w:w="80" w:type="dxa"/>
              <w:left w:w="80" w:type="dxa"/>
              <w:right w:w="80" w:type="dxa"/>
            </w:tcMar>
          </w:tcPr>
          <w:p>
            <w:pPr>
              <w:jc w:val="center"/>
            </w:pPr>
            <w:r>
              <w:rPr>
                <w:color w:val="222222"/>
                <w:sz w:val="17"/>
              </w:rPr>
              <w:t>4</w:t>
            </w:r>
          </w:p>
        </w:tc>
        <w:tc>
          <w:tcPr>
            <w:tcW w:type="dxa" w:w="2592"/>
            <w:shd w:fill="FFFFFF"/>
            <w:tcMar>
              <w:top w:w="80" w:type="dxa"/>
              <w:bottom w:w="80" w:type="dxa"/>
              <w:left w:w="80" w:type="dxa"/>
              <w:right w:w="80" w:type="dxa"/>
            </w:tcMar>
          </w:tcPr>
          <w:p>
            <w:pPr>
              <w:jc w:val="left"/>
            </w:pPr>
            <w:r>
              <w:rPr>
                <w:color w:val="222222"/>
                <w:sz w:val="17"/>
              </w:rPr>
              <w:t>Availability</w:t>
            </w:r>
          </w:p>
        </w:tc>
        <w:tc>
          <w:tcPr>
            <w:tcW w:type="dxa" w:w="3456"/>
            <w:shd w:fill="FFFFFF"/>
            <w:tcMar>
              <w:top w:w="80" w:type="dxa"/>
              <w:bottom w:w="80" w:type="dxa"/>
              <w:left w:w="80" w:type="dxa"/>
              <w:right w:w="80" w:type="dxa"/>
            </w:tcMar>
          </w:tcPr>
          <w:p>
            <w:pPr>
              <w:jc w:val="left"/>
            </w:pPr>
            <w:r>
              <w:rPr>
                <w:color w:val="222222"/>
                <w:sz w:val="17"/>
              </w:rPr>
              <w:t>High availability enterprise cloud infrastructure backed by redundant data centers and automatic failover.</w:t>
            </w:r>
          </w:p>
        </w:tc>
        <w:tc>
          <w:tcPr>
            <w:tcW w:type="dxa" w:w="2448"/>
            <w:shd w:fill="FFFFFF"/>
            <w:tcMar>
              <w:top w:w="80" w:type="dxa"/>
              <w:bottom w:w="80" w:type="dxa"/>
              <w:left w:w="80" w:type="dxa"/>
              <w:right w:w="80" w:type="dxa"/>
            </w:tcMar>
          </w:tcPr>
          <w:p>
            <w:pPr>
              <w:jc w:val="left"/>
            </w:pPr>
            <w:r>
              <w:rPr>
                <w:color w:val="222222"/>
                <w:sz w:val="17"/>
              </w:rPr>
              <w:t>ServiceNow High Availability (HA) Dual Data Center Architecture</w:t>
            </w:r>
          </w:p>
        </w:tc>
      </w:tr>
      <w:tr>
        <w:tc>
          <w:tcPr>
            <w:tcW w:type="dxa" w:w="864"/>
            <w:shd w:fill="F9FAFC"/>
            <w:tcMar>
              <w:top w:w="80" w:type="dxa"/>
              <w:bottom w:w="80" w:type="dxa"/>
              <w:left w:w="80" w:type="dxa"/>
              <w:right w:w="80" w:type="dxa"/>
            </w:tcMar>
          </w:tcPr>
          <w:p>
            <w:pPr>
              <w:jc w:val="center"/>
            </w:pPr>
            <w:r>
              <w:rPr>
                <w:color w:val="222222"/>
                <w:sz w:val="17"/>
              </w:rPr>
              <w:t>5</w:t>
            </w:r>
          </w:p>
        </w:tc>
        <w:tc>
          <w:tcPr>
            <w:tcW w:type="dxa" w:w="2592"/>
            <w:shd w:fill="F9FAFC"/>
            <w:tcMar>
              <w:top w:w="80" w:type="dxa"/>
              <w:bottom w:w="80" w:type="dxa"/>
              <w:left w:w="80" w:type="dxa"/>
              <w:right w:w="80" w:type="dxa"/>
            </w:tcMar>
          </w:tcPr>
          <w:p>
            <w:pPr>
              <w:jc w:val="left"/>
            </w:pPr>
            <w:r>
              <w:rPr>
                <w:color w:val="222222"/>
                <w:sz w:val="17"/>
              </w:rPr>
              <w:t>Performance</w:t>
            </w:r>
          </w:p>
        </w:tc>
        <w:tc>
          <w:tcPr>
            <w:tcW w:type="dxa" w:w="3456"/>
            <w:shd w:fill="F9FAFC"/>
            <w:tcMar>
              <w:top w:w="80" w:type="dxa"/>
              <w:bottom w:w="80" w:type="dxa"/>
              <w:left w:w="80" w:type="dxa"/>
              <w:right w:w="80" w:type="dxa"/>
            </w:tcMar>
          </w:tcPr>
          <w:p>
            <w:pPr>
              <w:jc w:val="left"/>
            </w:pPr>
            <w:r>
              <w:rPr>
                <w:color w:val="222222"/>
                <w:sz w:val="17"/>
              </w:rPr>
              <w:t>High-throughput bulk ingestion supporting thousands of records per minute with indexed coalesce fields (Employee ID) to optimize search and update speeds.</w:t>
            </w:r>
          </w:p>
        </w:tc>
        <w:tc>
          <w:tcPr>
            <w:tcW w:type="dxa" w:w="2448"/>
            <w:shd w:fill="F9FAFC"/>
            <w:tcMar>
              <w:top w:w="80" w:type="dxa"/>
              <w:bottom w:w="80" w:type="dxa"/>
              <w:left w:w="80" w:type="dxa"/>
              <w:right w:w="80" w:type="dxa"/>
            </w:tcMar>
          </w:tcPr>
          <w:p>
            <w:pPr>
              <w:jc w:val="left"/>
            </w:pPr>
            <w:r>
              <w:rPr>
                <w:color w:val="222222"/>
                <w:sz w:val="17"/>
              </w:rPr>
              <w:t>Indexed Coalesce Fields, Database Query Optimization</w:t>
            </w:r>
          </w:p>
        </w:tc>
      </w:tr>
    </w:tbl>
    <w:p>
      <w:pPr>
        <w:spacing w:after="240"/>
      </w:pPr>
    </w:p>
    <w:p>
      <w:pPr>
        <w:spacing w:before="160" w:after="80"/>
      </w:pPr>
      <w:r>
        <w:rPr>
          <w:rFonts w:ascii="Calibri" w:hAnsi="Calibri"/>
          <w:b/>
          <w:color w:val="1B365D"/>
          <w:sz w:val="22"/>
        </w:rPr>
        <w:t>References:</w:t>
      </w:r>
    </w:p>
    <w:p>
      <w:pPr>
        <w:pStyle w:val="ListBullet"/>
        <w:spacing w:after="40"/>
      </w:pPr>
      <w:r>
        <w:rPr>
          <w:color w:val="4B6B94"/>
          <w:sz w:val="17"/>
        </w:rPr>
        <w:t>https://docs.servicenow.com/bundle/utah-platform-administration/page/administer/import-sets/concept/c_ImportDataUsingTransformMaps.html</w:t>
      </w:r>
    </w:p>
    <w:p>
      <w:pPr>
        <w:pStyle w:val="ListBullet"/>
        <w:spacing w:after="40"/>
      </w:pPr>
      <w:r>
        <w:rPr>
          <w:color w:val="4B6B94"/>
          <w:sz w:val="17"/>
        </w:rPr>
        <w:t>https://developer.servicenow.com/dev.do#!/learn/learning-plans/tokyo/servicenow_application_developer/app_store_learnv2_importingdata_tokyo_transform_maps</w:t>
      </w:r>
    </w:p>
    <w:p>
      <w:pPr>
        <w:pStyle w:val="ListBullet"/>
        <w:spacing w:after="40"/>
      </w:pPr>
      <w:r>
        <w:rPr>
          <w:color w:val="4B6B94"/>
          <w:sz w:val="17"/>
        </w:rPr>
        <w:t>https://c4model.com/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