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365D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32"/>
              </w:rPr>
              <w:t>PROJECT DESIGN PHASE</w:t>
              <w:br/>
              <w:t>SOLUTION ARCHITECTURE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single" w:sz="6" w:space="0" w:color="B0C4DE"/>
          <w:right w:val="single" w:sz="6" w:space="0" w:color="B0C4DE"/>
        </w:tblBorders>
      </w:tblPr>
      <w:tblGrid>
        <w:gridCol w:w="4680"/>
        <w:gridCol w:w="4680"/>
      </w:tblGrid>
      <w:tr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Team ID:</w:t>
            </w:r>
            <w:r>
              <w:rPr>
                <w:color w:val="222222"/>
              </w:rPr>
              <w:t xml:space="preserve"> SWTID-2026-1398</w:t>
            </w:r>
          </w:p>
        </w:tc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Date:</w:t>
            </w:r>
            <w:r>
              <w:rPr>
                <w:color w:val="222222"/>
              </w:rPr>
              <w:t xml:space="preserve"> 30 September 2026</w:t>
            </w:r>
          </w:p>
        </w:tc>
      </w:tr>
      <w:tr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Project Name:</w:t>
            </w:r>
            <w:r>
              <w:rPr>
                <w:color w:val="222222"/>
              </w:rPr>
              <w:t xml:space="preserve"> Import Data Using Transform Maps</w:t>
            </w:r>
          </w:p>
        </w:tc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Maximum Marks:</w:t>
            </w:r>
            <w:r>
              <w:rPr>
                <w:color w:val="222222"/>
              </w:rPr>
              <w:t xml:space="preserve"> 4 Marks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Calibri" w:hAnsi="Calibri"/>
          <w:b/>
          <w:color w:val="1B365D"/>
          <w:sz w:val="26"/>
        </w:rPr>
        <w:t>Solution Architecture Overview:</w:t>
      </w:r>
    </w:p>
    <w:p>
      <w:pPr>
        <w:spacing w:after="80"/>
      </w:pPr>
      <w:r>
        <w:t>Solution architecture is a comprehensive process that bridges the gap between business requirements and technical implementation. Its core objectives are:</w:t>
      </w:r>
    </w:p>
    <w:p>
      <w:pPr>
        <w:pStyle w:val="ListBullet"/>
        <w:spacing w:after="40"/>
      </w:pPr>
      <w:r>
        <w:rPr>
          <w:sz w:val="19"/>
        </w:rPr>
        <w:t>Find the best technology solution to solve existing business and data integration challenges.</w:t>
      </w:r>
    </w:p>
    <w:p>
      <w:pPr>
        <w:pStyle w:val="ListBullet"/>
        <w:spacing w:after="40"/>
      </w:pPr>
      <w:r>
        <w:rPr>
          <w:sz w:val="19"/>
        </w:rPr>
        <w:t>Describe the structure, components, data flow, and behavior of the software system for project stakeholders.</w:t>
      </w:r>
    </w:p>
    <w:p>
      <w:pPr>
        <w:pStyle w:val="ListBullet"/>
        <w:spacing w:after="40"/>
      </w:pPr>
      <w:r>
        <w:rPr>
          <w:sz w:val="19"/>
        </w:rPr>
        <w:t>Define pipeline features, staging phases, transformation mappings, and technical system requirements.</w:t>
      </w:r>
    </w:p>
    <w:p>
      <w:pPr>
        <w:pStyle w:val="ListBullet"/>
        <w:spacing w:after="40"/>
      </w:pPr>
      <w:r>
        <w:rPr>
          <w:sz w:val="19"/>
        </w:rPr>
        <w:t>Provide explicit operational specifications according to which the solution is configured, validated, managed, and delivered.</w:t>
      </w:r>
    </w:p>
    <w:p>
      <w:pPr>
        <w:spacing w:after="200"/>
      </w:pPr>
    </w:p>
    <w:p>
      <w:pPr>
        <w:spacing w:before="160" w:after="80"/>
      </w:pPr>
      <w:r>
        <w:rPr>
          <w:rFonts w:ascii="Calibri" w:hAnsi="Calibri"/>
          <w:b/>
          <w:color w:val="1B365D"/>
          <w:sz w:val="26"/>
        </w:rPr>
        <w:t>Solution Architecture Diagram &amp; System Workflow: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B365D"/>
          <w:bottom w:val="single" w:sz="8" w:space="0" w:color="1B365D"/>
          <w:insideH w:val="single" w:sz="8" w:space="0" w:color="1B365D"/>
          <w:insideV w:val="single" w:sz="8" w:space="0" w:color="1B365D"/>
          <w:left w:val="single" w:sz="8" w:space="0" w:color="1B365D"/>
          <w:right w:val="single" w:sz="8" w:space="0" w:color="1B365D"/>
        </w:tblBorders>
      </w:tblPr>
      <w:tblGrid>
        <w:gridCol w:w="9360"/>
      </w:tblGrid>
      <w:tr>
        <w:tc>
          <w:tcPr>
            <w:tcW w:type="dxa" w:w="9360"/>
            <w:shd w:fill="FAFAFA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B365D"/>
              </w:rPr>
              <w:t>--- ARCHITECTURE FLOW DIAGRAM ---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color w:val="222222"/>
                <w:sz w:val="17"/>
              </w:rPr>
              <w:t>[ User / Admin ] ---&gt; Upload Employee Spreadsheet (.xlsx / .csv)</w:t>
              <w:br/>
              <w:t xml:space="preserve">                           |</w:t>
              <w:br/>
              <w:t xml:space="preserve">                           v</w:t>
              <w:br/>
              <w:t>[ Data Source Engine ] ---&gt; Parse File &amp; Populate Columns</w:t>
              <w:br/>
              <w:t xml:space="preserve">                           |</w:t>
              <w:br/>
              <w:t xml:space="preserve">                           v</w:t>
              <w:br/>
              <w:t>[ Staging Table: u_imp_employee ] ---&gt; Temporary Storage &amp; Validation</w:t>
              <w:br/>
              <w:t xml:space="preserve">                           |</w:t>
              <w:br/>
              <w:t xml:space="preserve">                           v</w:t>
              <w:br/>
              <w:t>[ Transform Map ] ---------&gt; Field Mapping &amp; Coalesce Engine</w:t>
              <w:br/>
              <w:t xml:space="preserve">                           |-- Unique Coalesce Field: Employee ID</w:t>
              <w:br/>
              <w:t xml:space="preserve">                           |</w:t>
              <w:br/>
              <w:t xml:space="preserve">             +-------------+------------+</w:t>
              <w:br/>
              <w:t xml:space="preserve">             |                          |</w:t>
              <w:br/>
              <w:t xml:space="preserve">             v                          v</w:t>
              <w:br/>
              <w:t>[ Match Found (Existing Employee) ]   [ No Match Found (New Employee) ]</w:t>
              <w:br/>
              <w:t xml:space="preserve">             |                          |</w:t>
              <w:br/>
              <w:t xml:space="preserve">             v                          v</w:t>
              <w:br/>
              <w:t>UPDATE sys_user Record                 INSERT sys_user Record</w:t>
              <w:br/>
              <w:t xml:space="preserve">             |                          |</w:t>
              <w:br/>
              <w:t xml:space="preserve">             +-------------+------------+</w:t>
              <w:br/>
              <w:t xml:space="preserve">                           |</w:t>
              <w:br/>
              <w:t xml:space="preserve">                           v</w:t>
              <w:br/>
              <w:t>[ Target Employee Table (sys_user) ] &amp; [ Import Set Execution Logs ]</w:t>
            </w:r>
          </w:p>
        </w:tc>
      </w:tr>
    </w:tbl>
    <w:p>
      <w:pPr>
        <w:spacing w:before="80" w:after="200"/>
        <w:jc w:val="center"/>
      </w:pPr>
      <w:r>
        <w:rPr>
          <w:i/>
          <w:color w:val="555555"/>
          <w:sz w:val="17"/>
        </w:rPr>
        <w:t>Figure 1: Automated Data Ingestion &amp; Transformation Architecture in ServiceNow</w:t>
      </w:r>
    </w:p>
    <w:p>
      <w:pPr>
        <w:spacing w:before="160" w:after="80"/>
      </w:pPr>
      <w:r>
        <w:rPr>
          <w:rFonts w:ascii="Calibri" w:hAnsi="Calibri"/>
          <w:b/>
          <w:color w:val="1B365D"/>
          <w:sz w:val="24"/>
        </w:rPr>
        <w:t>Architectural Component Breakdown: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single" w:sz="6" w:space="0" w:color="B0C4DE"/>
          <w:right w:val="single" w:sz="6" w:space="0" w:color="B0C4D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S.No.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Function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ServiceNow Platform Technology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7"/>
              </w:rPr>
              <w:t>1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Data Source / File Ingestion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Accepts external XLSX/CSV spreadsheets containing employee attributes: Employee ID, Name, Email, Department, and Location.</w:t>
            </w:r>
          </w:p>
        </w:tc>
        <w:tc>
          <w:tcPr>
            <w:tcW w:type="dxa" w:w="230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ServiceNow Data Source Engine / System Attachment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7"/>
              </w:rPr>
              <w:t>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Import Set Staging Table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Acts as an isolated staging table (`u_imp_employee`) holding raw imported rows prior to target commit, providing a validation buffer.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ServiceNow Import Set Staging Table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7"/>
              </w:rPr>
              <w:t>3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Transform Map Engine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Defines direct field-to-field relationships between staging columns and target table fields (`sys_user`), executing data transformations.</w:t>
            </w:r>
          </w:p>
        </w:tc>
        <w:tc>
          <w:tcPr>
            <w:tcW w:type="dxa" w:w="230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ServiceNow Transform Map (`sys_transform_map`)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7"/>
              </w:rPr>
              <w:t>4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Coalesce Logic Engine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Evaluates `Employee ID` as a unique primary key match. If a match exists, it updates the record; otherwise, it inserts a new employee profile.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ServiceNow Coalesce Field Mapping (`sys_transform_entry`)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Target Master Database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Stores active employee records with synchronized contact details, department allocations, and locations.</w:t>
            </w:r>
          </w:p>
        </w:tc>
        <w:tc>
          <w:tcPr>
            <w:tcW w:type="dxa" w:w="230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ServiceNow Employee Master Table (`sys_user`)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7"/>
              </w:rPr>
              <w:t>6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Execution Logging &amp; Audit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Tracks transformation state (Inserted, Updated, Ignored, Error) for full transparency and operational auditing.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7"/>
              </w:rPr>
              <w:t>Import Set Run Logs (`sys_import_set_run`)</w:t>
            </w:r>
          </w:p>
        </w:tc>
      </w:tr>
    </w:tbl>
    <w:p>
      <w:pPr>
        <w:spacing w:after="240"/>
      </w:pPr>
    </w:p>
    <w:p>
      <w:pPr>
        <w:spacing w:before="160" w:after="80"/>
      </w:pPr>
      <w:r>
        <w:rPr>
          <w:rFonts w:ascii="Calibri" w:hAnsi="Calibri"/>
          <w:b/>
          <w:color w:val="1B365D"/>
          <w:sz w:val="22"/>
        </w:rPr>
        <w:t>References:</w:t>
      </w:r>
    </w:p>
    <w:p>
      <w:pPr>
        <w:pStyle w:val="ListBullet"/>
        <w:spacing w:after="40"/>
      </w:pPr>
      <w:r>
        <w:rPr>
          <w:color w:val="4B6B94"/>
          <w:sz w:val="17"/>
        </w:rPr>
        <w:t>https://docs.servicenow.com/bundle/utah-platform-administration/page/administer/import-sets/concept/c_ImportDataUsingTransformMaps.html</w:t>
      </w:r>
    </w:p>
    <w:p>
      <w:pPr>
        <w:pStyle w:val="ListBullet"/>
        <w:spacing w:after="40"/>
      </w:pPr>
      <w:r>
        <w:rPr>
          <w:color w:val="4B6B94"/>
          <w:sz w:val="17"/>
        </w:rPr>
        <w:t>https://developer.servicenow.com/dev.do#!/learn/learning-plans/tokyo/servicenow_application_developer/app_store_learnv2_importingdata_tokyo_transform_maps</w:t>
      </w:r>
    </w:p>
    <w:p>
      <w:pPr>
        <w:pStyle w:val="ListBullet"/>
        <w:spacing w:after="40"/>
      </w:pPr>
      <w:r>
        <w:rPr>
          <w:color w:val="4B6B94"/>
          <w:sz w:val="17"/>
        </w:rPr>
        <w:t>https://aws.amazon.com/blogs/industries/voice-applications-in-clinical-research-powered-by-ai-on-aws-part-1-architecture-and-design-considerations/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