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DESIGN PHASE</w:t>
              <w:br/>
              <w:t>PROPOSED SOLUTION TEMPLATE</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2 Marks</w:t>
            </w:r>
          </w:p>
        </w:tc>
      </w:tr>
    </w:tbl>
    <w:p>
      <w:pPr>
        <w:spacing w:after="160"/>
      </w:pPr>
    </w:p>
    <w:p>
      <w:pPr>
        <w:spacing w:before="160" w:after="80"/>
      </w:pPr>
      <w:r>
        <w:rPr>
          <w:rFonts w:ascii="Calibri" w:hAnsi="Calibri"/>
          <w:b/>
          <w:color w:val="1B365D"/>
          <w:sz w:val="26"/>
        </w:rPr>
        <w:t>Proposed Solution Template:</w:t>
      </w:r>
    </w:p>
    <w:p>
      <w:pPr>
        <w:spacing w:after="160"/>
      </w:pPr>
      <w:r>
        <w:t>Project team shall fill the following information in the proposed solution template.</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3120"/>
        <w:gridCol w:w="3120"/>
        <w:gridCol w:w="3120"/>
      </w:tblGrid>
      <w:tr>
        <w:tc>
          <w:tcPr>
            <w:tcW w:type="dxa" w:w="864"/>
            <w:shd w:fill="1B365D"/>
            <w:tcMar>
              <w:top w:w="120" w:type="dxa"/>
              <w:bottom w:w="120" w:type="dxa"/>
              <w:left w:w="100" w:type="dxa"/>
              <w:right w:w="100" w:type="dxa"/>
            </w:tcMar>
          </w:tcPr>
          <w:p>
            <w:pPr>
              <w:jc w:val="center"/>
            </w:pPr>
            <w:r>
              <w:rPr>
                <w:rFonts w:ascii="Calibri" w:hAnsi="Calibri"/>
                <w:b/>
                <w:color w:val="FFFFFF"/>
                <w:sz w:val="20"/>
              </w:rPr>
              <w:t>S.No.</w:t>
            </w:r>
          </w:p>
        </w:tc>
        <w:tc>
          <w:tcPr>
            <w:tcW w:type="dxa" w:w="3024"/>
            <w:shd w:fill="1B365D"/>
            <w:tcMar>
              <w:top w:w="120" w:type="dxa"/>
              <w:bottom w:w="120" w:type="dxa"/>
              <w:left w:w="100" w:type="dxa"/>
              <w:right w:w="100" w:type="dxa"/>
            </w:tcMar>
          </w:tcPr>
          <w:p>
            <w:pPr>
              <w:jc w:val="left"/>
            </w:pPr>
            <w:r>
              <w:rPr>
                <w:rFonts w:ascii="Calibri" w:hAnsi="Calibri"/>
                <w:b/>
                <w:color w:val="FFFFFF"/>
                <w:sz w:val="20"/>
              </w:rPr>
              <w:t>Parameter</w:t>
            </w:r>
          </w:p>
        </w:tc>
        <w:tc>
          <w:tcPr>
            <w:tcW w:type="dxa" w:w="5472"/>
            <w:shd w:fill="1B365D"/>
            <w:tcMar>
              <w:top w:w="120" w:type="dxa"/>
              <w:bottom w:w="120" w:type="dxa"/>
              <w:left w:w="100" w:type="dxa"/>
              <w:right w:w="100" w:type="dxa"/>
            </w:tcMar>
          </w:tcPr>
          <w:p>
            <w:pPr>
              <w:jc w:val="left"/>
            </w:pPr>
            <w:r>
              <w:rPr>
                <w:rFonts w:ascii="Calibri" w:hAnsi="Calibri"/>
                <w:b/>
                <w:color w:val="FFFFFF"/>
                <w:sz w:val="20"/>
              </w:rPr>
              <w:t>Description</w:t>
            </w:r>
          </w:p>
        </w:tc>
      </w:tr>
      <w:tr>
        <w:tc>
          <w:tcPr>
            <w:tcW w:type="dxa" w:w="864"/>
            <w:shd w:fill="F9FAFC"/>
            <w:tcMar>
              <w:top w:w="100" w:type="dxa"/>
              <w:bottom w:w="100" w:type="dxa"/>
              <w:left w:w="100" w:type="dxa"/>
              <w:right w:w="100" w:type="dxa"/>
            </w:tcMar>
          </w:tcPr>
          <w:p>
            <w:pPr>
              <w:jc w:val="center"/>
            </w:pPr>
            <w:r>
              <w:rPr>
                <w:rFonts w:ascii="Calibri" w:hAnsi="Calibri"/>
                <w:color w:val="222222"/>
                <w:sz w:val="19"/>
              </w:rPr>
              <w:t>1</w:t>
            </w:r>
          </w:p>
        </w:tc>
        <w:tc>
          <w:tcPr>
            <w:tcW w:type="dxa" w:w="3024"/>
            <w:shd w:fill="F9FAFC"/>
            <w:tcMar>
              <w:top w:w="100" w:type="dxa"/>
              <w:bottom w:w="100" w:type="dxa"/>
              <w:left w:w="100" w:type="dxa"/>
              <w:right w:w="100" w:type="dxa"/>
            </w:tcMar>
          </w:tcPr>
          <w:p>
            <w:pPr>
              <w:jc w:val="left"/>
            </w:pPr>
            <w:r>
              <w:rPr>
                <w:rFonts w:ascii="Calibri" w:hAnsi="Calibri"/>
                <w:b/>
                <w:color w:val="222222"/>
                <w:sz w:val="19"/>
              </w:rPr>
              <w:t>Problem Statement</w:t>
              <w:br/>
              <w:t>(Problem to be solved)</w:t>
            </w:r>
          </w:p>
        </w:tc>
        <w:tc>
          <w:tcPr>
            <w:tcW w:type="dxa" w:w="5472"/>
            <w:shd w:fill="F9FAFC"/>
            <w:tcMar>
              <w:top w:w="100" w:type="dxa"/>
              <w:bottom w:w="100" w:type="dxa"/>
              <w:left w:w="100" w:type="dxa"/>
              <w:right w:w="100" w:type="dxa"/>
            </w:tcMar>
          </w:tcPr>
          <w:p>
            <w:pPr>
              <w:jc w:val="left"/>
            </w:pPr>
            <w:r>
              <w:rPr>
                <w:rFonts w:ascii="Calibri" w:hAnsi="Calibri"/>
                <w:color w:val="222222"/>
                <w:sz w:val="19"/>
              </w:rPr>
              <w:t>Organizations frequently deal with bulk employee onboarding, department changes, and location updates stored in external spreadsheets. Manually importing or updating these records in ServiceNow leads to high operational overhead, human error, data inconsistency, schema mismatches, and severe record duplication issues without proper primary key matching.</w:t>
            </w:r>
          </w:p>
        </w:tc>
      </w:tr>
      <w:tr>
        <w:tc>
          <w:tcPr>
            <w:tcW w:type="dxa" w:w="864"/>
            <w:shd w:fill="FFFFFF"/>
            <w:tcMar>
              <w:top w:w="100" w:type="dxa"/>
              <w:bottom w:w="100" w:type="dxa"/>
              <w:left w:w="100" w:type="dxa"/>
              <w:right w:w="100" w:type="dxa"/>
            </w:tcMar>
          </w:tcPr>
          <w:p>
            <w:pPr>
              <w:jc w:val="center"/>
            </w:pPr>
            <w:r>
              <w:rPr>
                <w:rFonts w:ascii="Calibri" w:hAnsi="Calibri"/>
                <w:color w:val="222222"/>
                <w:sz w:val="19"/>
              </w:rPr>
              <w:t>2</w:t>
            </w:r>
          </w:p>
        </w:tc>
        <w:tc>
          <w:tcPr>
            <w:tcW w:type="dxa" w:w="3024"/>
            <w:shd w:fill="FFFFFF"/>
            <w:tcMar>
              <w:top w:w="100" w:type="dxa"/>
              <w:bottom w:w="100" w:type="dxa"/>
              <w:left w:w="100" w:type="dxa"/>
              <w:right w:w="100" w:type="dxa"/>
            </w:tcMar>
          </w:tcPr>
          <w:p>
            <w:pPr>
              <w:jc w:val="left"/>
            </w:pPr>
            <w:r>
              <w:rPr>
                <w:rFonts w:ascii="Calibri" w:hAnsi="Calibri"/>
                <w:b/>
                <w:color w:val="222222"/>
                <w:sz w:val="19"/>
              </w:rPr>
              <w:t>Idea / Solution description</w:t>
            </w:r>
          </w:p>
        </w:tc>
        <w:tc>
          <w:tcPr>
            <w:tcW w:type="dxa" w:w="5472"/>
            <w:shd w:fill="FFFFFF"/>
            <w:tcMar>
              <w:top w:w="100" w:type="dxa"/>
              <w:bottom w:w="100" w:type="dxa"/>
              <w:left w:w="100" w:type="dxa"/>
              <w:right w:w="100" w:type="dxa"/>
            </w:tcMar>
          </w:tcPr>
          <w:p>
            <w:pPr>
              <w:jc w:val="left"/>
            </w:pPr>
            <w:r>
              <w:rPr>
                <w:rFonts w:ascii="Calibri" w:hAnsi="Calibri"/>
                <w:color w:val="222222"/>
                <w:sz w:val="19"/>
              </w:rPr>
              <w:t>The system provides an automated ServiceNow data ingestion pipeline using Import Sets and Transform Maps. Uploaded employee spreadsheets containing Employee ID, Name, Email, Department, and Location are temporarily stored in an Import Set Staging Table for validation. A Transform Map maps these staging fields directly to the target Employee master table (`sys_user`). By configuring Employee ID as the unique Coalesce field, the pipeline automatically identifies existing employee profiles to update their information while seamlessly inserting new employee entries.</w:t>
            </w:r>
          </w:p>
        </w:tc>
      </w:tr>
      <w:tr>
        <w:tc>
          <w:tcPr>
            <w:tcW w:type="dxa" w:w="864"/>
            <w:shd w:fill="F9FAFC"/>
            <w:tcMar>
              <w:top w:w="100" w:type="dxa"/>
              <w:bottom w:w="100" w:type="dxa"/>
              <w:left w:w="100" w:type="dxa"/>
              <w:right w:w="100" w:type="dxa"/>
            </w:tcMar>
          </w:tcPr>
          <w:p>
            <w:pPr>
              <w:jc w:val="center"/>
            </w:pPr>
            <w:r>
              <w:rPr>
                <w:rFonts w:ascii="Calibri" w:hAnsi="Calibri"/>
                <w:color w:val="222222"/>
                <w:sz w:val="19"/>
              </w:rPr>
              <w:t>3</w:t>
            </w:r>
          </w:p>
        </w:tc>
        <w:tc>
          <w:tcPr>
            <w:tcW w:type="dxa" w:w="3024"/>
            <w:shd w:fill="F9FAFC"/>
            <w:tcMar>
              <w:top w:w="100" w:type="dxa"/>
              <w:bottom w:w="100" w:type="dxa"/>
              <w:left w:w="100" w:type="dxa"/>
              <w:right w:w="100" w:type="dxa"/>
            </w:tcMar>
          </w:tcPr>
          <w:p>
            <w:pPr>
              <w:jc w:val="left"/>
            </w:pPr>
            <w:r>
              <w:rPr>
                <w:rFonts w:ascii="Calibri" w:hAnsi="Calibri"/>
                <w:b/>
                <w:color w:val="222222"/>
                <w:sz w:val="19"/>
              </w:rPr>
              <w:t>Novelty / Uniqueness</w:t>
            </w:r>
          </w:p>
        </w:tc>
        <w:tc>
          <w:tcPr>
            <w:tcW w:type="dxa" w:w="5472"/>
            <w:shd w:fill="F9FAFC"/>
            <w:tcMar>
              <w:top w:w="100" w:type="dxa"/>
              <w:bottom w:w="100" w:type="dxa"/>
              <w:left w:w="100" w:type="dxa"/>
              <w:right w:w="100" w:type="dxa"/>
            </w:tcMar>
          </w:tcPr>
          <w:p>
            <w:pPr>
              <w:jc w:val="left"/>
            </w:pPr>
            <w:r>
              <w:rPr>
                <w:rFonts w:ascii="Calibri" w:hAnsi="Calibri"/>
                <w:color w:val="222222"/>
                <w:sz w:val="19"/>
              </w:rPr>
              <w:t>• Two-Stage Staging Validation: Raw spreadsheet data is insulated from live target tables, ensuring zero corruption of active employee records.</w:t>
              <w:br/>
              <w:t>• Intelligent Coalesce Logic: Uses Employee ID as a unique primary key trigger for dynamic Upsert operations (conditional Insert vs. Update).</w:t>
              <w:br/>
              <w:t>• Automated Field Mapping &amp; Transformation Scripts: Supports cross-field script transformations (e.g., email formatting, department reference lookup) within ServiceNow.</w:t>
            </w:r>
          </w:p>
        </w:tc>
      </w:tr>
      <w:tr>
        <w:tc>
          <w:tcPr>
            <w:tcW w:type="dxa" w:w="864"/>
            <w:shd w:fill="FFFFFF"/>
            <w:tcMar>
              <w:top w:w="100" w:type="dxa"/>
              <w:bottom w:w="100" w:type="dxa"/>
              <w:left w:w="100" w:type="dxa"/>
              <w:right w:w="100" w:type="dxa"/>
            </w:tcMar>
          </w:tcPr>
          <w:p>
            <w:pPr>
              <w:jc w:val="center"/>
            </w:pPr>
            <w:r>
              <w:rPr>
                <w:rFonts w:ascii="Calibri" w:hAnsi="Calibri"/>
                <w:color w:val="222222"/>
                <w:sz w:val="19"/>
              </w:rPr>
              <w:t>4</w:t>
            </w:r>
          </w:p>
        </w:tc>
        <w:tc>
          <w:tcPr>
            <w:tcW w:type="dxa" w:w="3024"/>
            <w:shd w:fill="FFFFFF"/>
            <w:tcMar>
              <w:top w:w="100" w:type="dxa"/>
              <w:bottom w:w="100" w:type="dxa"/>
              <w:left w:w="100" w:type="dxa"/>
              <w:right w:w="100" w:type="dxa"/>
            </w:tcMar>
          </w:tcPr>
          <w:p>
            <w:pPr>
              <w:jc w:val="left"/>
            </w:pPr>
            <w:r>
              <w:rPr>
                <w:rFonts w:ascii="Calibri" w:hAnsi="Calibri"/>
                <w:b/>
                <w:color w:val="222222"/>
                <w:sz w:val="19"/>
              </w:rPr>
              <w:t>Social Impact / Customer Satisfaction</w:t>
            </w:r>
          </w:p>
        </w:tc>
        <w:tc>
          <w:tcPr>
            <w:tcW w:type="dxa" w:w="5472"/>
            <w:shd w:fill="FFFFFF"/>
            <w:tcMar>
              <w:top w:w="100" w:type="dxa"/>
              <w:bottom w:w="100" w:type="dxa"/>
              <w:left w:w="100" w:type="dxa"/>
              <w:right w:w="100" w:type="dxa"/>
            </w:tcMar>
          </w:tcPr>
          <w:p>
            <w:pPr>
              <w:jc w:val="left"/>
            </w:pPr>
            <w:r>
              <w:rPr>
                <w:rFonts w:ascii="Calibri" w:hAnsi="Calibri"/>
                <w:color w:val="222222"/>
                <w:sz w:val="19"/>
              </w:rPr>
              <w:t>• Dramatically reduces manual HR/IT data entry time by over 90%.</w:t>
              <w:br/>
              <w:t>• Ensures high data accuracy, transparency, and consistency across organizational directories.</w:t>
              <w:br/>
              <w:t>• Improves employee onboarding satisfaction by guaranteeing correct access rights, contact details, and department tagging on day one.</w:t>
            </w:r>
          </w:p>
        </w:tc>
      </w:tr>
      <w:tr>
        <w:tc>
          <w:tcPr>
            <w:tcW w:type="dxa" w:w="864"/>
            <w:shd w:fill="F9FAFC"/>
            <w:tcMar>
              <w:top w:w="100" w:type="dxa"/>
              <w:bottom w:w="100" w:type="dxa"/>
              <w:left w:w="100" w:type="dxa"/>
              <w:right w:w="100" w:type="dxa"/>
            </w:tcMar>
          </w:tcPr>
          <w:p>
            <w:pPr>
              <w:jc w:val="center"/>
            </w:pPr>
            <w:r>
              <w:rPr>
                <w:rFonts w:ascii="Calibri" w:hAnsi="Calibri"/>
                <w:color w:val="222222"/>
                <w:sz w:val="19"/>
              </w:rPr>
              <w:t>5</w:t>
            </w:r>
          </w:p>
        </w:tc>
        <w:tc>
          <w:tcPr>
            <w:tcW w:type="dxa" w:w="3024"/>
            <w:shd w:fill="F9FAFC"/>
            <w:tcMar>
              <w:top w:w="100" w:type="dxa"/>
              <w:bottom w:w="100" w:type="dxa"/>
              <w:left w:w="100" w:type="dxa"/>
              <w:right w:w="100" w:type="dxa"/>
            </w:tcMar>
          </w:tcPr>
          <w:p>
            <w:pPr>
              <w:jc w:val="left"/>
            </w:pPr>
            <w:r>
              <w:rPr>
                <w:rFonts w:ascii="Calibri" w:hAnsi="Calibri"/>
                <w:b/>
                <w:color w:val="222222"/>
                <w:sz w:val="19"/>
              </w:rPr>
              <w:t>Business Model</w:t>
              <w:br/>
              <w:t>(Revenue Model)</w:t>
            </w:r>
          </w:p>
        </w:tc>
        <w:tc>
          <w:tcPr>
            <w:tcW w:type="dxa" w:w="5472"/>
            <w:shd w:fill="F9FAFC"/>
            <w:tcMar>
              <w:top w:w="100" w:type="dxa"/>
              <w:bottom w:w="100" w:type="dxa"/>
              <w:left w:w="100" w:type="dxa"/>
              <w:right w:w="100" w:type="dxa"/>
            </w:tcMar>
          </w:tcPr>
          <w:p>
            <w:pPr>
              <w:jc w:val="left"/>
            </w:pPr>
            <w:r>
              <w:rPr>
                <w:rFonts w:ascii="Calibri" w:hAnsi="Calibri"/>
                <w:color w:val="222222"/>
                <w:sz w:val="19"/>
              </w:rPr>
              <w:t>• Enterprise SaaS Model / Internal ITSM Automation: Offered as a core automated utility within ServiceNow ITSM &amp; HR Service Delivery (HRSD) module implementations.</w:t>
              <w:br/>
              <w:t>• Reduces administrative operational expenditure (OpEx) by eliminating manual record curation and audit overhead.</w:t>
            </w:r>
          </w:p>
        </w:tc>
      </w:tr>
      <w:tr>
        <w:tc>
          <w:tcPr>
            <w:tcW w:type="dxa" w:w="864"/>
            <w:shd w:fill="FFFFFF"/>
            <w:tcMar>
              <w:top w:w="100" w:type="dxa"/>
              <w:bottom w:w="100" w:type="dxa"/>
              <w:left w:w="100" w:type="dxa"/>
              <w:right w:w="100" w:type="dxa"/>
            </w:tcMar>
          </w:tcPr>
          <w:p>
            <w:pPr>
              <w:jc w:val="center"/>
            </w:pPr>
            <w:r>
              <w:rPr>
                <w:rFonts w:ascii="Calibri" w:hAnsi="Calibri"/>
                <w:color w:val="222222"/>
                <w:sz w:val="19"/>
              </w:rPr>
              <w:t>6</w:t>
            </w:r>
          </w:p>
        </w:tc>
        <w:tc>
          <w:tcPr>
            <w:tcW w:type="dxa" w:w="3024"/>
            <w:shd w:fill="FFFFFF"/>
            <w:tcMar>
              <w:top w:w="100" w:type="dxa"/>
              <w:bottom w:w="100" w:type="dxa"/>
              <w:left w:w="100" w:type="dxa"/>
              <w:right w:w="100" w:type="dxa"/>
            </w:tcMar>
          </w:tcPr>
          <w:p>
            <w:pPr>
              <w:jc w:val="left"/>
            </w:pPr>
            <w:r>
              <w:rPr>
                <w:rFonts w:ascii="Calibri" w:hAnsi="Calibri"/>
                <w:b/>
                <w:color w:val="222222"/>
                <w:sz w:val="19"/>
              </w:rPr>
              <w:t>Scalability of the Solution</w:t>
            </w:r>
          </w:p>
        </w:tc>
        <w:tc>
          <w:tcPr>
            <w:tcW w:type="dxa" w:w="5472"/>
            <w:shd w:fill="FFFFFF"/>
            <w:tcMar>
              <w:top w:w="100" w:type="dxa"/>
              <w:bottom w:w="100" w:type="dxa"/>
              <w:left w:w="100" w:type="dxa"/>
              <w:right w:w="100" w:type="dxa"/>
            </w:tcMar>
          </w:tcPr>
          <w:p>
            <w:pPr>
              <w:jc w:val="left"/>
            </w:pPr>
            <w:r>
              <w:rPr>
                <w:rFonts w:ascii="Calibri" w:hAnsi="Calibri"/>
                <w:color w:val="222222"/>
                <w:sz w:val="19"/>
              </w:rPr>
              <w:t>• Multi-Threaded Batch Processing: Built on ServiceNow's high-performance Import Set engine capable of asynchronously processing tens of thousands of employee records simultaneously.</w:t>
              <w:br/>
              <w:t>• REST API &amp; Data Source Flexibility: Extensible to connect directly with external HR systems (e.g., Workday, SAP SuccessFactors) via scheduled import jobs or REST API endpoints.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