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F93" w:rsidRPr="000E3F93" w:rsidRDefault="000E3F93" w:rsidP="000E3F93">
      <w:pPr>
        <w:pStyle w:val="NormalWeb"/>
        <w:rPr>
          <w:rFonts w:asciiTheme="minorHAnsi" w:hAnsiTheme="minorHAnsi" w:cstheme="minorHAnsi"/>
        </w:rPr>
      </w:pPr>
      <w:r w:rsidRPr="000E3F93">
        <w:rPr>
          <w:rFonts w:asciiTheme="minorHAnsi" w:hAnsiTheme="minorHAnsi" w:cstheme="minorHAnsi"/>
        </w:rPr>
        <w:t>DOCUMENTO DE ANÁLISE TÉCNICA E ARQUITETURA DE SISTEMAS PREVISION ENGIN</w:t>
      </w:r>
      <w:r>
        <w:rPr>
          <w:rFonts w:asciiTheme="minorHAnsi" w:hAnsiTheme="minorHAnsi" w:cstheme="minorHAnsi"/>
        </w:rPr>
        <w:t>E — VERSÃO 1.0</w:t>
      </w:r>
      <w:bookmarkStart w:id="0" w:name="_GoBack"/>
      <w:bookmarkEnd w:id="0"/>
    </w:p>
    <w:p w:rsidR="000E3F93" w:rsidRPr="000E3F93" w:rsidRDefault="000E3F93" w:rsidP="000E3F93">
      <w:pPr>
        <w:pStyle w:val="NormalWeb"/>
        <w:rPr>
          <w:rFonts w:asciiTheme="minorHAnsi" w:hAnsiTheme="minorHAnsi" w:cstheme="minorHAnsi"/>
        </w:rPr>
      </w:pPr>
      <w:r w:rsidRPr="000E3F93">
        <w:rPr>
          <w:rFonts w:asciiTheme="minorHAnsi" w:hAnsiTheme="minorHAnsi" w:cstheme="minorHAnsi"/>
        </w:rPr>
        <w:t xml:space="preserve">O código analisado constitui o núcleo estrutural de um </w:t>
      </w:r>
      <w:proofErr w:type="spellStart"/>
      <w:r w:rsidRPr="000E3F93">
        <w:rPr>
          <w:rFonts w:asciiTheme="minorHAnsi" w:hAnsiTheme="minorHAnsi" w:cstheme="minorHAnsi"/>
        </w:rPr>
        <w:t>microsserviço</w:t>
      </w:r>
      <w:proofErr w:type="spellEnd"/>
      <w:r w:rsidRPr="000E3F93">
        <w:rPr>
          <w:rFonts w:asciiTheme="minorHAnsi" w:hAnsiTheme="minorHAnsi" w:cstheme="minorHAnsi"/>
        </w:rPr>
        <w:t xml:space="preserve"> de automação logística inteligente voltado para a cadeia de suprimentos, batizado internamente como </w:t>
      </w:r>
      <w:proofErr w:type="spellStart"/>
      <w:r w:rsidRPr="000E3F93">
        <w:rPr>
          <w:rFonts w:asciiTheme="minorHAnsi" w:hAnsiTheme="minorHAnsi" w:cstheme="minorHAnsi"/>
        </w:rPr>
        <w:t>Prevision</w:t>
      </w:r>
      <w:proofErr w:type="spellEnd"/>
      <w:r w:rsidRPr="000E3F93">
        <w:rPr>
          <w:rFonts w:asciiTheme="minorHAnsi" w:hAnsiTheme="minorHAnsi" w:cstheme="minorHAnsi"/>
        </w:rPr>
        <w:t xml:space="preserve"> </w:t>
      </w:r>
      <w:proofErr w:type="spellStart"/>
      <w:r w:rsidRPr="000E3F93">
        <w:rPr>
          <w:rFonts w:asciiTheme="minorHAnsi" w:hAnsiTheme="minorHAnsi" w:cstheme="minorHAnsi"/>
        </w:rPr>
        <w:t>Engine</w:t>
      </w:r>
      <w:proofErr w:type="spellEnd"/>
      <w:r w:rsidRPr="000E3F93">
        <w:rPr>
          <w:rFonts w:asciiTheme="minorHAnsi" w:hAnsiTheme="minorHAnsi" w:cstheme="minorHAnsi"/>
        </w:rPr>
        <w:t>. Sob a ótica da engenharia de software praticada em grandes empresas de tecnologia, esta aplicação funciona como um agente autônomo de tomada de decisão orientado a dados. Sua natureza principal é integrar uma camada de análise de dados tabulares descritivos a um ecossistema de inteligência artificial generativa, estabelecendo um pipeline ponta a ponta que automatiza o diagnóstico de inventários e executa ações corretivas em sistemas externos. Trata-se de uma solução focada na otimização de processos de negócios, projetada para mitigar gargalos operacionais e eliminar a necessidade de triagem humana manual em fluxos repetitivos de reabastecimento de estoque.</w:t>
      </w:r>
    </w:p>
    <w:p w:rsidR="000E3F93" w:rsidRPr="000E3F93" w:rsidRDefault="000E3F93" w:rsidP="000E3F93">
      <w:pPr>
        <w:pStyle w:val="NormalWeb"/>
        <w:rPr>
          <w:rFonts w:asciiTheme="minorHAnsi" w:hAnsiTheme="minorHAnsi" w:cstheme="minorHAnsi"/>
        </w:rPr>
      </w:pPr>
      <w:r w:rsidRPr="000E3F93">
        <w:rPr>
          <w:rFonts w:asciiTheme="minorHAnsi" w:hAnsiTheme="minorHAnsi" w:cstheme="minorHAnsi"/>
        </w:rPr>
        <w:t xml:space="preserve">Em termos funcionais, o </w:t>
      </w:r>
      <w:proofErr w:type="spellStart"/>
      <w:r w:rsidRPr="000E3F93">
        <w:rPr>
          <w:rFonts w:asciiTheme="minorHAnsi" w:hAnsiTheme="minorHAnsi" w:cstheme="minorHAnsi"/>
        </w:rPr>
        <w:t>Prevision</w:t>
      </w:r>
      <w:proofErr w:type="spellEnd"/>
      <w:r w:rsidRPr="000E3F93">
        <w:rPr>
          <w:rFonts w:asciiTheme="minorHAnsi" w:hAnsiTheme="minorHAnsi" w:cstheme="minorHAnsi"/>
        </w:rPr>
        <w:t xml:space="preserve"> </w:t>
      </w:r>
      <w:proofErr w:type="spellStart"/>
      <w:r w:rsidRPr="000E3F93">
        <w:rPr>
          <w:rFonts w:asciiTheme="minorHAnsi" w:hAnsiTheme="minorHAnsi" w:cstheme="minorHAnsi"/>
        </w:rPr>
        <w:t>Engine</w:t>
      </w:r>
      <w:proofErr w:type="spellEnd"/>
      <w:r w:rsidRPr="000E3F93">
        <w:rPr>
          <w:rFonts w:asciiTheme="minorHAnsi" w:hAnsiTheme="minorHAnsi" w:cstheme="minorHAnsi"/>
        </w:rPr>
        <w:t xml:space="preserve"> assume o papel de auditor contínuo do inventário de produtos da empresa. O sistema avalia o estado atual de cada unidade de manutenção de estoque, correlacionando os dados históricos ou atuais de consumo e, de forma preditiva e analítica, decreta o destino operacional de cada item. O software é capaz de discernir entre três cenários estratégicos para cada produto avaliado: disparar uma ordem de compra emergencial para mitigar riscos de desabastecimento, sugerir uma ação promocional de escoamento para mercadorias com excesso de estoque ou simplesmente manter o nível atual de armazenamento caso o equilíbrio de mercado seja detectado. Indo além da simples geração de relatórios passivos, a aplicação estende sua atuação funcional para a execução prática de processos, comunicando-se autonomamente com fornecedores externos ao redigir e enviar requisições formais de compra via correio eletrônico sempre que uma defasagem de material é identificada pela inteligência artificial.</w:t>
      </w:r>
    </w:p>
    <w:p w:rsidR="000E3F93" w:rsidRPr="000E3F93" w:rsidRDefault="000E3F93" w:rsidP="000E3F93">
      <w:pPr>
        <w:pStyle w:val="NormalWeb"/>
        <w:rPr>
          <w:rFonts w:asciiTheme="minorHAnsi" w:hAnsiTheme="minorHAnsi" w:cstheme="minorHAnsi"/>
        </w:rPr>
      </w:pPr>
      <w:r w:rsidRPr="000E3F93">
        <w:rPr>
          <w:rFonts w:asciiTheme="minorHAnsi" w:hAnsiTheme="minorHAnsi" w:cstheme="minorHAnsi"/>
        </w:rPr>
        <w:t xml:space="preserve">O mecanismo técnico que viabiliza esse comportamento é estruturado em um fluxo linear composto por quatro etapas integradas: ingestão de dados, transformação, inferência cognitiva estruturada e execução de efeitos colaterais na rede. O ponto de partida operacional dá-se no método principal da classe, que recebe como parâmetro de entrada um conjunto de dados estruturado no formato de um </w:t>
      </w:r>
      <w:proofErr w:type="spellStart"/>
      <w:r w:rsidRPr="000E3F93">
        <w:rPr>
          <w:rFonts w:asciiTheme="minorHAnsi" w:hAnsiTheme="minorHAnsi" w:cstheme="minorHAnsi"/>
        </w:rPr>
        <w:t>DataFrame</w:t>
      </w:r>
      <w:proofErr w:type="spellEnd"/>
      <w:r w:rsidRPr="000E3F93">
        <w:rPr>
          <w:rFonts w:asciiTheme="minorHAnsi" w:hAnsiTheme="minorHAnsi" w:cstheme="minorHAnsi"/>
        </w:rPr>
        <w:t xml:space="preserve"> da biblioteca Pandas, que é o padrão de mercado para manipulação de dados em alta performance. Este objeto carrega as propriedades vitais dos produtos, tais como identificadores, nomes textuais e os canais de contato dos fornecedores parceiros. Para viabilizar o consumo desses registros por uma entidade de inteligência artificial, o motor realiza uma transformação estrutural, convertendo a matriz de dados tabulares em uma </w:t>
      </w:r>
      <w:proofErr w:type="spellStart"/>
      <w:r w:rsidRPr="000E3F93">
        <w:rPr>
          <w:rFonts w:asciiTheme="minorHAnsi" w:hAnsiTheme="minorHAnsi" w:cstheme="minorHAnsi"/>
        </w:rPr>
        <w:t>string</w:t>
      </w:r>
      <w:proofErr w:type="spellEnd"/>
      <w:r w:rsidRPr="000E3F93">
        <w:rPr>
          <w:rFonts w:asciiTheme="minorHAnsi" w:hAnsiTheme="minorHAnsi" w:cstheme="minorHAnsi"/>
        </w:rPr>
        <w:t xml:space="preserve"> de texto serializada no formato JSON orientado a registros, que é então encapsulada dinamicamente em uma </w:t>
      </w:r>
      <w:proofErr w:type="spellStart"/>
      <w:r w:rsidRPr="000E3F93">
        <w:rPr>
          <w:rFonts w:asciiTheme="minorHAnsi" w:hAnsiTheme="minorHAnsi" w:cstheme="minorHAnsi"/>
        </w:rPr>
        <w:t>string</w:t>
      </w:r>
      <w:proofErr w:type="spellEnd"/>
      <w:r w:rsidRPr="000E3F93">
        <w:rPr>
          <w:rFonts w:asciiTheme="minorHAnsi" w:hAnsiTheme="minorHAnsi" w:cstheme="minorHAnsi"/>
        </w:rPr>
        <w:t xml:space="preserve"> de comando de contexto técnico destinada ao processamento cognitivo.</w:t>
      </w:r>
    </w:p>
    <w:p w:rsidR="000E3F93" w:rsidRPr="000E3F93" w:rsidRDefault="000E3F93" w:rsidP="000E3F93">
      <w:pPr>
        <w:pStyle w:val="NormalWeb"/>
        <w:rPr>
          <w:rFonts w:asciiTheme="minorHAnsi" w:hAnsiTheme="minorHAnsi" w:cstheme="minorHAnsi"/>
        </w:rPr>
      </w:pPr>
      <w:r w:rsidRPr="000E3F93">
        <w:rPr>
          <w:rFonts w:asciiTheme="minorHAnsi" w:hAnsiTheme="minorHAnsi" w:cstheme="minorHAnsi"/>
        </w:rPr>
        <w:t xml:space="preserve">O processamento cognitivo central e a lógica de tomada de decisão são inteiramente delegados ao cliente oficial do ecossistema Google </w:t>
      </w:r>
      <w:proofErr w:type="spellStart"/>
      <w:r w:rsidRPr="000E3F93">
        <w:rPr>
          <w:rFonts w:asciiTheme="minorHAnsi" w:hAnsiTheme="minorHAnsi" w:cstheme="minorHAnsi"/>
        </w:rPr>
        <w:t>GenAI</w:t>
      </w:r>
      <w:proofErr w:type="spellEnd"/>
      <w:r w:rsidRPr="000E3F93">
        <w:rPr>
          <w:rFonts w:asciiTheme="minorHAnsi" w:hAnsiTheme="minorHAnsi" w:cstheme="minorHAnsi"/>
        </w:rPr>
        <w:t xml:space="preserve">, instanciado para operar com o modelo de linguagem de grande porte </w:t>
      </w:r>
      <w:proofErr w:type="spellStart"/>
      <w:r w:rsidRPr="000E3F93">
        <w:rPr>
          <w:rFonts w:asciiTheme="minorHAnsi" w:hAnsiTheme="minorHAnsi" w:cstheme="minorHAnsi"/>
        </w:rPr>
        <w:t>Gemini</w:t>
      </w:r>
      <w:proofErr w:type="spellEnd"/>
      <w:r w:rsidRPr="000E3F93">
        <w:rPr>
          <w:rFonts w:asciiTheme="minorHAnsi" w:hAnsiTheme="minorHAnsi" w:cstheme="minorHAnsi"/>
        </w:rPr>
        <w:t xml:space="preserve"> </w:t>
      </w:r>
      <w:proofErr w:type="gramStart"/>
      <w:r w:rsidRPr="000E3F93">
        <w:rPr>
          <w:rFonts w:asciiTheme="minorHAnsi" w:hAnsiTheme="minorHAnsi" w:cstheme="minorHAnsi"/>
        </w:rPr>
        <w:t>dois ponto</w:t>
      </w:r>
      <w:proofErr w:type="gramEnd"/>
      <w:r w:rsidRPr="000E3F93">
        <w:rPr>
          <w:rFonts w:asciiTheme="minorHAnsi" w:hAnsiTheme="minorHAnsi" w:cstheme="minorHAnsi"/>
        </w:rPr>
        <w:t xml:space="preserve"> cinco Flash. Visando eliminar o comportamento estocástico inerente a modelos generativos e garantir a </w:t>
      </w:r>
      <w:r w:rsidRPr="000E3F93">
        <w:rPr>
          <w:rFonts w:asciiTheme="minorHAnsi" w:hAnsiTheme="minorHAnsi" w:cstheme="minorHAnsi"/>
        </w:rPr>
        <w:lastRenderedPageBreak/>
        <w:t xml:space="preserve">estrita previsibilidade necessária em sistemas corporativos transacionais, o software implementa uma restrição arquitetural rígida chamada de saídas estruturadas. Utilizando a biblioteca </w:t>
      </w:r>
      <w:proofErr w:type="spellStart"/>
      <w:r w:rsidRPr="000E3F93">
        <w:rPr>
          <w:rFonts w:asciiTheme="minorHAnsi" w:hAnsiTheme="minorHAnsi" w:cstheme="minorHAnsi"/>
        </w:rPr>
        <w:t>Pydantic</w:t>
      </w:r>
      <w:proofErr w:type="spellEnd"/>
      <w:r w:rsidRPr="000E3F93">
        <w:rPr>
          <w:rFonts w:asciiTheme="minorHAnsi" w:hAnsiTheme="minorHAnsi" w:cstheme="minorHAnsi"/>
        </w:rPr>
        <w:t xml:space="preserve">, o sistema define esquemas de dados </w:t>
      </w:r>
      <w:proofErr w:type="spellStart"/>
      <w:r w:rsidRPr="000E3F93">
        <w:rPr>
          <w:rFonts w:asciiTheme="minorHAnsi" w:hAnsiTheme="minorHAnsi" w:cstheme="minorHAnsi"/>
        </w:rPr>
        <w:t>tipados</w:t>
      </w:r>
      <w:proofErr w:type="spellEnd"/>
      <w:r w:rsidRPr="000E3F93">
        <w:rPr>
          <w:rFonts w:asciiTheme="minorHAnsi" w:hAnsiTheme="minorHAnsi" w:cstheme="minorHAnsi"/>
        </w:rPr>
        <w:t xml:space="preserve"> denominados </w:t>
      </w:r>
      <w:proofErr w:type="spellStart"/>
      <w:r w:rsidRPr="000E3F93">
        <w:rPr>
          <w:rFonts w:asciiTheme="minorHAnsi" w:hAnsiTheme="minorHAnsi" w:cstheme="minorHAnsi"/>
        </w:rPr>
        <w:t>DecisaoProduto</w:t>
      </w:r>
      <w:proofErr w:type="spellEnd"/>
      <w:r w:rsidRPr="000E3F93">
        <w:rPr>
          <w:rFonts w:asciiTheme="minorHAnsi" w:hAnsiTheme="minorHAnsi" w:cstheme="minorHAnsi"/>
        </w:rPr>
        <w:t xml:space="preserve"> e </w:t>
      </w:r>
      <w:proofErr w:type="spellStart"/>
      <w:r w:rsidRPr="000E3F93">
        <w:rPr>
          <w:rFonts w:asciiTheme="minorHAnsi" w:hAnsiTheme="minorHAnsi" w:cstheme="minorHAnsi"/>
        </w:rPr>
        <w:t>RespostaIA</w:t>
      </w:r>
      <w:proofErr w:type="spellEnd"/>
      <w:r w:rsidRPr="000E3F93">
        <w:rPr>
          <w:rFonts w:asciiTheme="minorHAnsi" w:hAnsiTheme="minorHAnsi" w:cstheme="minorHAnsi"/>
        </w:rPr>
        <w:t xml:space="preserve">. Ao injetar esses esquemas na configuração da requisição através do parâmetro de esquema de resposta, o código força o modelo a ignorar respostas puramente textuais e a retornar obrigatoriamente um </w:t>
      </w:r>
      <w:proofErr w:type="spellStart"/>
      <w:r w:rsidRPr="000E3F93">
        <w:rPr>
          <w:rFonts w:asciiTheme="minorHAnsi" w:hAnsiTheme="minorHAnsi" w:cstheme="minorHAnsi"/>
        </w:rPr>
        <w:t>payload</w:t>
      </w:r>
      <w:proofErr w:type="spellEnd"/>
      <w:r w:rsidRPr="000E3F93">
        <w:rPr>
          <w:rFonts w:asciiTheme="minorHAnsi" w:hAnsiTheme="minorHAnsi" w:cstheme="minorHAnsi"/>
        </w:rPr>
        <w:t xml:space="preserve"> JSON perfeitamente </w:t>
      </w:r>
      <w:proofErr w:type="spellStart"/>
      <w:r w:rsidRPr="000E3F93">
        <w:rPr>
          <w:rFonts w:asciiTheme="minorHAnsi" w:hAnsiTheme="minorHAnsi" w:cstheme="minorHAnsi"/>
        </w:rPr>
        <w:t>parseável</w:t>
      </w:r>
      <w:proofErr w:type="spellEnd"/>
      <w:r w:rsidRPr="000E3F93">
        <w:rPr>
          <w:rFonts w:asciiTheme="minorHAnsi" w:hAnsiTheme="minorHAnsi" w:cstheme="minorHAnsi"/>
        </w:rPr>
        <w:t xml:space="preserve">, contendo </w:t>
      </w:r>
      <w:proofErr w:type="spellStart"/>
      <w:r w:rsidRPr="000E3F93">
        <w:rPr>
          <w:rFonts w:asciiTheme="minorHAnsi" w:hAnsiTheme="minorHAnsi" w:cstheme="minorHAnsi"/>
        </w:rPr>
        <w:t>arrays</w:t>
      </w:r>
      <w:proofErr w:type="spellEnd"/>
      <w:r w:rsidRPr="000E3F93">
        <w:rPr>
          <w:rFonts w:asciiTheme="minorHAnsi" w:hAnsiTheme="minorHAnsi" w:cstheme="minorHAnsi"/>
        </w:rPr>
        <w:t xml:space="preserve"> de objetos contendo o identificador do produto, a ação recomendada, o volume exato da compra e a justificativa técnica. O determinismo do processo é reforçado ao fixar a temperatura do modelo em um décimo, forçando a inteligência artificial a focar estritamente na coerência analítica dos dados fornecidos.</w:t>
      </w:r>
    </w:p>
    <w:p w:rsidR="000E3F93" w:rsidRPr="000E3F93" w:rsidRDefault="000E3F93" w:rsidP="000E3F93">
      <w:pPr>
        <w:pStyle w:val="NormalWeb"/>
        <w:rPr>
          <w:rFonts w:asciiTheme="minorHAnsi" w:hAnsiTheme="minorHAnsi" w:cstheme="minorHAnsi"/>
        </w:rPr>
      </w:pPr>
      <w:r w:rsidRPr="000E3F93">
        <w:rPr>
          <w:rFonts w:asciiTheme="minorHAnsi" w:hAnsiTheme="minorHAnsi" w:cstheme="minorHAnsi"/>
        </w:rPr>
        <w:t xml:space="preserve">A fase conclusiva do ciclo de vida da aplicação consiste no pós-processamento e na execução das diretivas geradas. O sistema realiza a leitura do JSON estruturado retornado pela API e inicia um loop de iteração sobre cada decisão tomada. Para cada registro, o motor realiza uma busca indexada de busca reversa no </w:t>
      </w:r>
      <w:proofErr w:type="spellStart"/>
      <w:r w:rsidRPr="000E3F93">
        <w:rPr>
          <w:rFonts w:asciiTheme="minorHAnsi" w:hAnsiTheme="minorHAnsi" w:cstheme="minorHAnsi"/>
        </w:rPr>
        <w:t>DataFrame</w:t>
      </w:r>
      <w:proofErr w:type="spellEnd"/>
      <w:r w:rsidRPr="000E3F93">
        <w:rPr>
          <w:rFonts w:asciiTheme="minorHAnsi" w:hAnsiTheme="minorHAnsi" w:cstheme="minorHAnsi"/>
        </w:rPr>
        <w:t xml:space="preserve"> original do Pandas utilizando o identificador único do produto para recuperar os </w:t>
      </w:r>
      <w:proofErr w:type="spellStart"/>
      <w:r w:rsidRPr="000E3F93">
        <w:rPr>
          <w:rFonts w:asciiTheme="minorHAnsi" w:hAnsiTheme="minorHAnsi" w:cstheme="minorHAnsi"/>
        </w:rPr>
        <w:t>metadados</w:t>
      </w:r>
      <w:proofErr w:type="spellEnd"/>
      <w:r w:rsidRPr="000E3F93">
        <w:rPr>
          <w:rFonts w:asciiTheme="minorHAnsi" w:hAnsiTheme="minorHAnsi" w:cstheme="minorHAnsi"/>
        </w:rPr>
        <w:t xml:space="preserve"> textuais que não foram enviados ao modelo ou que precisam ser validados, como o nome descritivo exato e o e-mail de destino do fornecedor. Caso a ação mapeada seja estritamente igual à diretiva de compra e a quantidade sugerida seja superior a zero, o fluxo de execução realiza um desvio para um método privado responsável pela comunicação externa. Este método aciona a biblioteca padrão de transferência de correio simples, monta uma mensagem estruturada multipartes com cabeçalhos apropriados e corpo em texto plano, inicia uma conexão segura criptografada via segurança de camada de transporte e transmite a ordem de compra ao servidor SMTP configurado, registrando o sucesso da operação nos logs do sistema.</w:t>
      </w:r>
    </w:p>
    <w:p w:rsidR="000E3F93" w:rsidRPr="000E3F93" w:rsidRDefault="000E3F93" w:rsidP="000E3F93">
      <w:pPr>
        <w:pStyle w:val="NormalWeb"/>
        <w:rPr>
          <w:rFonts w:asciiTheme="minorHAnsi" w:hAnsiTheme="minorHAnsi" w:cstheme="minorHAnsi"/>
        </w:rPr>
      </w:pPr>
      <w:r w:rsidRPr="000E3F93">
        <w:rPr>
          <w:rFonts w:asciiTheme="minorHAnsi" w:hAnsiTheme="minorHAnsi" w:cstheme="minorHAnsi"/>
        </w:rPr>
        <w:t xml:space="preserve">Sob a perspectiva de governança, segurança da informação e </w:t>
      </w:r>
      <w:proofErr w:type="spellStart"/>
      <w:r w:rsidRPr="000E3F93">
        <w:rPr>
          <w:rFonts w:asciiTheme="minorHAnsi" w:hAnsiTheme="minorHAnsi" w:cstheme="minorHAnsi"/>
        </w:rPr>
        <w:t>observabilidade</w:t>
      </w:r>
      <w:proofErr w:type="spellEnd"/>
      <w:r w:rsidRPr="000E3F93">
        <w:rPr>
          <w:rFonts w:asciiTheme="minorHAnsi" w:hAnsiTheme="minorHAnsi" w:cstheme="minorHAnsi"/>
        </w:rPr>
        <w:t xml:space="preserve"> — critérios mandatórios para sistemas em ambiente de produção de grande porte —, a arquitetura do software adota práticas de desenvolvimento recomendadas. O código evita a exposição de segredos e credenciais de infraestrutura ao não permitir valores fixos no código-fonte, extraindo chaves de API, usuários e senhas diretamente das variáveis de ambiente do sistema operacional hospedeiro. Adicionalmente, há um sistema centralizado de registro de eventos configurado que monitora o comportamento da aplicação em tempo real. Este componente documenta de forma cronológica desde os eventos normais de inicialização do motor e auditoria individual de produtos até avisos preventivos, como a ausência de credenciais que ativa um modo de simulação segura sem quebra do pipeline, e erros críticos de rede ou falhas operacionais na comunicação com a API, garantindo alta </w:t>
      </w:r>
      <w:proofErr w:type="spellStart"/>
      <w:r w:rsidRPr="000E3F93">
        <w:rPr>
          <w:rFonts w:asciiTheme="minorHAnsi" w:hAnsiTheme="minorHAnsi" w:cstheme="minorHAnsi"/>
        </w:rPr>
        <w:t>manutenibilidade</w:t>
      </w:r>
      <w:proofErr w:type="spellEnd"/>
      <w:r w:rsidRPr="000E3F93">
        <w:rPr>
          <w:rFonts w:asciiTheme="minorHAnsi" w:hAnsiTheme="minorHAnsi" w:cstheme="minorHAnsi"/>
        </w:rPr>
        <w:t>, rastreabilidade e facilidade de depuração para as equipes de engenharia de confiabilidade de sites.</w:t>
      </w:r>
    </w:p>
    <w:p w:rsidR="00896C35" w:rsidRDefault="00896C35"/>
    <w:sectPr w:rsidR="00896C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F93"/>
    <w:rsid w:val="000E3F93"/>
    <w:rsid w:val="0010517A"/>
    <w:rsid w:val="0089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82D2"/>
  <w15:chartTrackingRefBased/>
  <w15:docId w15:val="{5E70F02F-5EA4-46C2-8284-0C18F42B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3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2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988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Afonso Ferreira Alves</dc:creator>
  <cp:keywords/>
  <dc:description/>
  <cp:lastModifiedBy>Guilherme Afonso Ferreira Alves</cp:lastModifiedBy>
  <cp:revision>1</cp:revision>
  <dcterms:created xsi:type="dcterms:W3CDTF">2026-06-03T22:40:00Z</dcterms:created>
  <dcterms:modified xsi:type="dcterms:W3CDTF">2026-06-03T22:41:00Z</dcterms:modified>
</cp:coreProperties>
</file>