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D9CEE5">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b/>
          <w:color w:val="000000"/>
          <w:sz w:val="24"/>
          <w:szCs w:val="24"/>
        </w:rPr>
      </w:pPr>
      <w:r>
        <w:rPr>
          <w:b/>
          <w:color w:val="000000"/>
          <w:sz w:val="24"/>
          <w:szCs w:val="24"/>
        </w:rPr>
        <w:t>SYNOPSIS OF EXPLORATORY PROJECT (EP)</w:t>
      </w:r>
    </w:p>
    <w:p w14:paraId="7BE30C44">
      <w:pPr>
        <w:widowControl w:val="0"/>
        <w:pBdr>
          <w:top w:val="none" w:color="auto" w:sz="0" w:space="0"/>
          <w:left w:val="none" w:color="auto" w:sz="0" w:space="0"/>
          <w:bottom w:val="none" w:color="auto" w:sz="0" w:space="0"/>
          <w:right w:val="none" w:color="auto" w:sz="0" w:space="0"/>
          <w:between w:val="none" w:color="auto" w:sz="0" w:space="0"/>
        </w:pBdr>
        <w:spacing w:before="222" w:line="240" w:lineRule="auto"/>
        <w:ind w:right="75"/>
        <w:jc w:val="center"/>
        <w:rPr>
          <w:b/>
          <w:color w:val="000000"/>
          <w:sz w:val="24"/>
          <w:szCs w:val="24"/>
        </w:rPr>
      </w:pPr>
      <w:r>
        <w:rPr>
          <w:b/>
          <w:color w:val="000000"/>
          <w:sz w:val="24"/>
          <w:szCs w:val="24"/>
        </w:rPr>
        <w:t xml:space="preserve">ON </w:t>
      </w:r>
    </w:p>
    <w:p w14:paraId="505A8E2E">
      <w:pPr>
        <w:widowControl w:val="0"/>
        <w:pBdr>
          <w:top w:val="none" w:color="auto" w:sz="0" w:space="0"/>
          <w:left w:val="none" w:color="auto" w:sz="0" w:space="0"/>
          <w:bottom w:val="none" w:color="auto" w:sz="0" w:space="0"/>
          <w:right w:val="none" w:color="auto" w:sz="0" w:space="0"/>
          <w:between w:val="none" w:color="auto" w:sz="0" w:space="0"/>
        </w:pBdr>
        <w:spacing w:before="217" w:line="240" w:lineRule="auto"/>
        <w:ind w:right="75"/>
        <w:jc w:val="center"/>
        <w:rPr>
          <w:sz w:val="28"/>
          <w:szCs w:val="28"/>
        </w:rPr>
      </w:pPr>
      <w:r>
        <w:rPr>
          <w:sz w:val="28"/>
          <w:szCs w:val="28"/>
          <w:u w:val="single"/>
        </w:rPr>
        <w:t>Anti-Money Laundering (AML) Compliance and Surveillance Platform using Hybrid Rule-Based and Machine Learning Techniques</w:t>
      </w:r>
    </w:p>
    <w:p w14:paraId="3D0D4FC1">
      <w:pPr>
        <w:widowControl w:val="0"/>
        <w:pBdr>
          <w:top w:val="none" w:color="auto" w:sz="0" w:space="0"/>
          <w:left w:val="none" w:color="auto" w:sz="0" w:space="0"/>
          <w:bottom w:val="none" w:color="auto" w:sz="0" w:space="0"/>
          <w:right w:val="none" w:color="auto" w:sz="0" w:space="0"/>
          <w:between w:val="none" w:color="auto" w:sz="0" w:space="0"/>
        </w:pBdr>
        <w:spacing w:before="217" w:line="240" w:lineRule="auto"/>
        <w:ind w:right="-15"/>
        <w:rPr>
          <w:b/>
          <w:sz w:val="24"/>
          <w:szCs w:val="24"/>
        </w:rPr>
      </w:pPr>
      <w:r>
        <w:rPr>
          <w:b/>
          <w:sz w:val="24"/>
          <w:szCs w:val="24"/>
        </w:rPr>
        <w:t xml:space="preserve">  submitted in partial fulfilment of the requirements for the award of degree of </w:t>
      </w:r>
    </w:p>
    <w:p w14:paraId="61508F94">
      <w:pPr>
        <w:widowControl w:val="0"/>
        <w:pBdr>
          <w:top w:val="none" w:color="auto" w:sz="0" w:space="0"/>
          <w:left w:val="none" w:color="auto" w:sz="0" w:space="0"/>
          <w:bottom w:val="none" w:color="auto" w:sz="0" w:space="0"/>
          <w:right w:val="none" w:color="auto" w:sz="0" w:space="0"/>
          <w:between w:val="none" w:color="auto" w:sz="0" w:space="0"/>
        </w:pBdr>
        <w:spacing w:before="217" w:line="240" w:lineRule="auto"/>
        <w:ind w:right="-15"/>
        <w:rPr>
          <w:b/>
          <w:sz w:val="24"/>
          <w:szCs w:val="24"/>
        </w:rPr>
      </w:pPr>
    </w:p>
    <w:p w14:paraId="6AA0FD60">
      <w:pPr>
        <w:widowControl w:val="0"/>
        <w:pBdr>
          <w:top w:val="none" w:color="auto" w:sz="0" w:space="0"/>
          <w:left w:val="none" w:color="auto" w:sz="0" w:space="0"/>
          <w:bottom w:val="none" w:color="auto" w:sz="0" w:space="0"/>
          <w:right w:val="none" w:color="auto" w:sz="0" w:space="0"/>
          <w:between w:val="none" w:color="auto" w:sz="0" w:space="0"/>
        </w:pBdr>
        <w:spacing w:before="252" w:line="240" w:lineRule="auto"/>
        <w:jc w:val="center"/>
        <w:rPr>
          <w:b/>
          <w:color w:val="000000"/>
          <w:sz w:val="24"/>
          <w:szCs w:val="24"/>
        </w:rPr>
      </w:pPr>
      <w:r>
        <w:rPr>
          <w:b/>
          <w:color w:val="000000"/>
          <w:sz w:val="24"/>
          <w:szCs w:val="24"/>
        </w:rPr>
        <w:t xml:space="preserve">BACHELOR OF ENGINEERING </w:t>
      </w:r>
    </w:p>
    <w:p w14:paraId="3D253932">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jc w:val="center"/>
        <w:rPr>
          <w:b/>
          <w:color w:val="000000"/>
          <w:sz w:val="24"/>
          <w:szCs w:val="24"/>
        </w:rPr>
      </w:pPr>
      <w:r>
        <w:rPr>
          <w:b/>
          <w:color w:val="000000"/>
          <w:sz w:val="24"/>
          <w:szCs w:val="24"/>
        </w:rPr>
        <w:t xml:space="preserve">In </w:t>
      </w:r>
    </w:p>
    <w:p w14:paraId="58100D87">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jc w:val="center"/>
        <w:rPr>
          <w:b/>
          <w:color w:val="000000"/>
          <w:sz w:val="24"/>
          <w:szCs w:val="24"/>
        </w:rPr>
      </w:pPr>
      <w:r>
        <w:rPr>
          <w:b/>
          <w:color w:val="000000"/>
          <w:sz w:val="24"/>
          <w:szCs w:val="24"/>
        </w:rPr>
        <w:t xml:space="preserve">COMPUTER SCIENCE AND ENGINEERING </w:t>
      </w:r>
    </w:p>
    <w:p w14:paraId="7AE3D020">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jc w:val="center"/>
        <w:rPr>
          <w:b/>
          <w:sz w:val="24"/>
          <w:szCs w:val="24"/>
        </w:rPr>
      </w:pPr>
    </w:p>
    <w:p w14:paraId="10B464E6">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Pr>
          <w:b/>
        </w:rPr>
        <w:tab/>
      </w:r>
      <w:r>
        <w:rPr>
          <w:rFonts w:hint="default"/>
          <w:b/>
          <w:lang w:val="en-US"/>
        </w:rPr>
        <w:t xml:space="preserve">           </w:t>
      </w:r>
      <w:r>
        <w:rPr>
          <w:b/>
        </w:rPr>
        <w:t xml:space="preserve"> Supervised By:</w:t>
      </w:r>
    </w:p>
    <w:p w14:paraId="738F7609">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rPr>
          <w:rFonts w:hint="default"/>
          <w:b/>
          <w:color w:val="000000"/>
          <w:lang w:val="en-US"/>
        </w:rPr>
      </w:pPr>
      <w:r>
        <w:rPr>
          <w:b/>
          <w:color w:val="000000"/>
        </w:rPr>
        <w:t xml:space="preserve">Yug Middha  </w:t>
      </w:r>
      <w:r>
        <w:rPr>
          <w:b/>
          <w:color w:val="000000"/>
        </w:rPr>
        <w:tab/>
      </w:r>
      <w:r>
        <w:rPr>
          <w:b/>
          <w:color w:val="000000"/>
        </w:rPr>
        <w:tab/>
      </w:r>
      <w:r>
        <w:rPr>
          <w:b/>
          <w:color w:val="000000"/>
        </w:rPr>
        <w:t xml:space="preserve">                               </w:t>
      </w:r>
      <w:r>
        <w:rPr>
          <w:rFonts w:hint="default"/>
          <w:b/>
          <w:color w:val="000000"/>
          <w:lang w:val="en-US"/>
        </w:rPr>
        <w:t xml:space="preserve">                                                    Dr.</w:t>
      </w:r>
      <w:r>
        <w:rPr>
          <w:b/>
          <w:color w:val="000000"/>
        </w:rPr>
        <w:t xml:space="preserve"> </w:t>
      </w:r>
      <w:r>
        <w:rPr>
          <w:rFonts w:hint="default"/>
          <w:b/>
          <w:color w:val="000000"/>
          <w:lang w:val="en-US"/>
        </w:rPr>
        <w:t>Monika Aggarwal</w:t>
      </w:r>
    </w:p>
    <w:p w14:paraId="5B35367E">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rPr>
          <w:rFonts w:hint="default"/>
          <w:b/>
          <w:color w:val="000000"/>
          <w:lang w:val="en-US"/>
        </w:rPr>
      </w:pPr>
      <w:r>
        <w:rPr>
          <w:rFonts w:hint="default"/>
          <w:b/>
          <w:color w:val="000000"/>
          <w:lang w:val="en-US"/>
        </w:rPr>
        <w:t xml:space="preserve">2310991378                          </w:t>
      </w:r>
      <w:r>
        <w:rPr>
          <w:b/>
          <w:color w:val="000000"/>
        </w:rPr>
        <w:tab/>
      </w:r>
      <w:r>
        <w:rPr>
          <w:b/>
          <w:color w:val="000000"/>
        </w:rPr>
        <w:tab/>
      </w:r>
      <w:r>
        <w:rPr>
          <w:b/>
          <w:color w:val="000000"/>
        </w:rPr>
        <w:tab/>
      </w:r>
      <w:r>
        <w:rPr>
          <w:b/>
          <w:color w:val="000000"/>
        </w:rPr>
        <w:tab/>
      </w:r>
      <w:r>
        <w:rPr>
          <w:b/>
          <w:color w:val="000000"/>
        </w:rPr>
        <w:tab/>
      </w:r>
      <w:r>
        <w:rPr>
          <w:b/>
          <w:color w:val="000000"/>
        </w:rPr>
        <w:t xml:space="preserve">                        </w:t>
      </w:r>
      <w:r>
        <w:rPr>
          <w:rFonts w:hint="default"/>
          <w:b/>
          <w:color w:val="000000"/>
          <w:lang w:val="en-US"/>
        </w:rPr>
        <w:t>Assistantprofessor</w:t>
      </w:r>
    </w:p>
    <w:p w14:paraId="03CD42C0">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jc w:val="center"/>
        <w:rPr>
          <w:rFonts w:hint="default"/>
          <w:b/>
          <w:color w:val="000000"/>
          <w:lang w:val="en-US"/>
        </w:rPr>
      </w:pPr>
      <w:r>
        <w:rPr>
          <w:rFonts w:hint="default"/>
          <w:b/>
          <w:color w:val="000000"/>
          <w:lang w:val="en-US"/>
        </w:rPr>
        <w:t xml:space="preserve">                                                                                             </w:t>
      </w:r>
      <w:bookmarkStart w:id="0" w:name="_GoBack"/>
      <w:bookmarkEnd w:id="0"/>
      <w:r>
        <w:rPr>
          <w:rFonts w:hint="default"/>
          <w:b/>
          <w:color w:val="000000"/>
          <w:lang w:val="en-US"/>
        </w:rPr>
        <w:t>CUIET</w:t>
      </w:r>
    </w:p>
    <w:p w14:paraId="16AB42EE">
      <w:pPr>
        <w:widowControl w:val="0"/>
        <w:pBdr>
          <w:top w:val="none" w:color="auto" w:sz="0" w:space="0"/>
          <w:left w:val="none" w:color="auto" w:sz="0" w:space="0"/>
          <w:bottom w:val="none" w:color="auto" w:sz="0" w:space="0"/>
          <w:right w:val="none" w:color="auto" w:sz="0" w:space="0"/>
          <w:between w:val="none" w:color="auto" w:sz="0" w:space="0"/>
        </w:pBdr>
        <w:spacing w:before="793"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drawing>
          <wp:inline distT="0" distB="0" distL="0" distR="0">
            <wp:extent cx="1859280" cy="184086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59280" cy="1840865"/>
                    </a:xfrm>
                    <a:prstGeom prst="rect">
                      <a:avLst/>
                    </a:prstGeom>
                    <a:noFill/>
                  </pic:spPr>
                </pic:pic>
              </a:graphicData>
            </a:graphic>
          </wp:inline>
        </w:drawing>
      </w:r>
    </w:p>
    <w:p w14:paraId="74628350">
      <w:pPr>
        <w:widowControl w:val="0"/>
        <w:pBdr>
          <w:top w:val="none" w:color="auto" w:sz="0" w:space="0"/>
          <w:left w:val="none" w:color="auto" w:sz="0" w:space="0"/>
          <w:bottom w:val="none" w:color="auto" w:sz="0" w:space="0"/>
          <w:right w:val="none" w:color="auto" w:sz="0" w:space="0"/>
          <w:between w:val="none" w:color="auto" w:sz="0" w:space="0"/>
        </w:pBdr>
        <w:spacing w:before="793" w:line="240" w:lineRule="auto"/>
        <w:jc w:val="center"/>
        <w:rPr>
          <w:rFonts w:ascii="Times New Roman" w:hAnsi="Times New Roman" w:eastAsia="Times New Roman" w:cs="Times New Roman"/>
          <w:b/>
          <w:color w:val="000000"/>
        </w:rPr>
      </w:pPr>
    </w:p>
    <w:p w14:paraId="4AAE9217">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r>
        <w:rPr>
          <w:rFonts w:eastAsia="Times New Roman"/>
          <w:b/>
          <w:color w:val="000000"/>
        </w:rPr>
        <w:t>DEPARTMENT OF COMPUTER SCIENCE AND ENGINEERING</w:t>
      </w:r>
    </w:p>
    <w:p w14:paraId="262752AD">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p>
    <w:p w14:paraId="4D9B73EA">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p>
    <w:p w14:paraId="5FBAB345">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p>
    <w:p w14:paraId="187C410D">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r>
        <w:rPr>
          <w:rFonts w:eastAsia="Times New Roman"/>
          <w:b/>
          <w:color w:val="000000"/>
        </w:rPr>
        <w:t>CHITKARA UNIVERSITY INSTITUTE OF ENGINEERING AND TECHNOLOGY</w:t>
      </w:r>
    </w:p>
    <w:p w14:paraId="71D8412C">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r>
        <w:rPr>
          <w:rFonts w:eastAsia="Times New Roman"/>
          <w:b/>
          <w:color w:val="000000"/>
        </w:rPr>
        <w:t>CHITKARA UNIVERSITY, PUNJAB, INDIA</w:t>
      </w:r>
    </w:p>
    <w:p w14:paraId="5DC6D88D">
      <w:pPr>
        <w:pageBreakBefore/>
        <w:jc w:val="center"/>
        <w:rPr>
          <w:rFonts w:ascii="Times New Roman" w:hAnsi="Times New Roman" w:cs="Times New Roman"/>
          <w:b/>
          <w:sz w:val="32"/>
          <w:szCs w:val="32"/>
          <w:u w:val="single"/>
        </w:rPr>
      </w:pPr>
      <w:r>
        <w:rPr>
          <w:rFonts w:ascii="Times New Roman" w:hAnsi="Times New Roman" w:cs="Times New Roman"/>
          <w:b/>
          <w:sz w:val="32"/>
          <w:szCs w:val="32"/>
          <w:u w:val="single"/>
        </w:rPr>
        <w:t>CONTENTS</w:t>
      </w:r>
    </w:p>
    <w:p w14:paraId="306E8F03">
      <w:pPr>
        <w:jc w:val="center"/>
        <w:rPr>
          <w:b/>
          <w:sz w:val="28"/>
        </w:rPr>
      </w:pPr>
    </w:p>
    <w:p w14:paraId="1C714540">
      <w:pPr>
        <w:jc w:val="center"/>
        <w:rPr>
          <w:rFonts w:ascii="Times New Roman" w:hAnsi="Times New Roman" w:cs="Times New Roman"/>
          <w:b/>
          <w:sz w:val="28"/>
          <w:szCs w:val="28"/>
        </w:rPr>
      </w:pPr>
      <w:r>
        <w:rPr>
          <w:rFonts w:ascii="Times New Roman" w:hAnsi="Times New Roman" w:cs="Times New Roman"/>
          <w:b/>
          <w:sz w:val="28"/>
          <w:szCs w:val="28"/>
        </w:rPr>
        <w:t>Title</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 xml:space="preserve">     Page No.</w:t>
      </w:r>
    </w:p>
    <w:p w14:paraId="407A75F3">
      <w:pPr>
        <w:jc w:val="center"/>
        <w:rPr>
          <w:rFonts w:ascii="Times New Roman" w:hAnsi="Times New Roman" w:cs="Times New Roman"/>
          <w:b/>
          <w:sz w:val="28"/>
          <w:szCs w:val="28"/>
        </w:rPr>
      </w:pPr>
    </w:p>
    <w:p w14:paraId="350BD2FB">
      <w:pPr>
        <w:pStyle w:val="19"/>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50D90CBE">
      <w:pPr>
        <w:pStyle w:val="19"/>
        <w:tabs>
          <w:tab w:val="right" w:leader="dot" w:pos="9350"/>
        </w:tabs>
        <w:rPr>
          <w:rFonts w:ascii="Times New Roman" w:hAnsi="Times New Roman" w:cs="Times New Roman"/>
          <w:bCs/>
          <w:sz w:val="28"/>
          <w:szCs w:val="28"/>
        </w:rPr>
      </w:pPr>
      <w:r>
        <w:rPr>
          <w:rFonts w:ascii="Times New Roman" w:hAnsi="Times New Roman" w:cs="Times New Roman"/>
          <w:bCs/>
          <w:sz w:val="28"/>
          <w:szCs w:val="28"/>
        </w:rPr>
        <w:t>Abstract</w:t>
      </w:r>
      <w:r>
        <w:rPr>
          <w:rFonts w:ascii="Times New Roman" w:hAnsi="Times New Roman" w:cs="Times New Roman"/>
          <w:bCs/>
          <w:sz w:val="28"/>
          <w:szCs w:val="28"/>
        </w:rPr>
        <w:tab/>
      </w:r>
      <w:r>
        <w:rPr>
          <w:rFonts w:ascii="Times New Roman" w:hAnsi="Times New Roman" w:cs="Times New Roman"/>
          <w:bCs/>
          <w:sz w:val="28"/>
          <w:szCs w:val="28"/>
        </w:rPr>
        <w:t>3</w:t>
      </w:r>
    </w:p>
    <w:p w14:paraId="6CDBE95F">
      <w:pPr>
        <w:pStyle w:val="19"/>
        <w:numPr>
          <w:ilvl w:val="0"/>
          <w:numId w:val="1"/>
        </w:numPr>
        <w:tabs>
          <w:tab w:val="right" w:leader="dot" w:pos="9350"/>
        </w:tabs>
        <w:rPr>
          <w:rFonts w:ascii="Times New Roman" w:hAnsi="Times New Roman" w:cs="Times New Roman"/>
          <w:bCs/>
          <w:sz w:val="28"/>
          <w:szCs w:val="28"/>
        </w:rPr>
      </w:pPr>
      <w:r>
        <w:rPr>
          <w:rFonts w:ascii="Times New Roman" w:hAnsi="Times New Roman" w:cs="Times New Roman"/>
          <w:bCs/>
          <w:sz w:val="28"/>
          <w:szCs w:val="28"/>
        </w:rPr>
        <w:t>Introduction</w:t>
      </w:r>
      <w:r>
        <w:rPr>
          <w:rFonts w:ascii="Times New Roman" w:hAnsi="Times New Roman" w:cs="Times New Roman"/>
          <w:bCs/>
          <w:sz w:val="28"/>
          <w:szCs w:val="28"/>
        </w:rPr>
        <w:tab/>
      </w:r>
      <w:r>
        <w:rPr>
          <w:rFonts w:ascii="Times New Roman" w:hAnsi="Times New Roman" w:cs="Times New Roman"/>
          <w:bCs/>
          <w:sz w:val="28"/>
          <w:szCs w:val="28"/>
        </w:rPr>
        <w:t>5</w:t>
      </w:r>
    </w:p>
    <w:p w14:paraId="5E1731C6">
      <w:pPr>
        <w:pStyle w:val="19"/>
        <w:numPr>
          <w:ilvl w:val="0"/>
          <w:numId w:val="1"/>
        </w:numPr>
        <w:tabs>
          <w:tab w:val="right" w:leader="dot" w:pos="9350"/>
        </w:tabs>
        <w:rPr>
          <w:rFonts w:ascii="Times New Roman" w:hAnsi="Times New Roman" w:cs="Times New Roman"/>
          <w:bCs/>
          <w:sz w:val="28"/>
          <w:szCs w:val="28"/>
        </w:rPr>
      </w:pPr>
      <w:r>
        <w:rPr>
          <w:rFonts w:ascii="Times New Roman" w:hAnsi="Times New Roman" w:cs="Times New Roman"/>
          <w:bCs/>
          <w:sz w:val="28"/>
          <w:szCs w:val="28"/>
        </w:rPr>
        <w:t>Literature Review</w:t>
      </w:r>
      <w:r>
        <w:rPr>
          <w:rFonts w:ascii="Times New Roman" w:hAnsi="Times New Roman" w:cs="Times New Roman"/>
          <w:bCs/>
          <w:sz w:val="28"/>
          <w:szCs w:val="28"/>
        </w:rPr>
        <w:tab/>
      </w:r>
      <w:r>
        <w:rPr>
          <w:rFonts w:ascii="Times New Roman" w:hAnsi="Times New Roman" w:cs="Times New Roman"/>
          <w:bCs/>
          <w:sz w:val="28"/>
          <w:szCs w:val="28"/>
        </w:rPr>
        <w:t>9</w:t>
      </w:r>
    </w:p>
    <w:p w14:paraId="15660C4D">
      <w:pPr>
        <w:pStyle w:val="19"/>
        <w:numPr>
          <w:ilvl w:val="0"/>
          <w:numId w:val="1"/>
        </w:numPr>
        <w:tabs>
          <w:tab w:val="right" w:leader="dot" w:pos="9350"/>
        </w:tabs>
        <w:rPr>
          <w:rFonts w:ascii="Times New Roman" w:hAnsi="Times New Roman" w:cs="Times New Roman"/>
          <w:bCs/>
          <w:sz w:val="28"/>
          <w:szCs w:val="28"/>
        </w:rPr>
      </w:pPr>
      <w:r>
        <w:rPr>
          <w:rFonts w:ascii="Times New Roman" w:hAnsi="Times New Roman" w:cs="Times New Roman"/>
          <w:bCs/>
          <w:sz w:val="28"/>
          <w:szCs w:val="28"/>
        </w:rPr>
        <w:t>Methodology</w:t>
      </w:r>
      <w:r>
        <w:rPr>
          <w:rFonts w:ascii="Times New Roman" w:hAnsi="Times New Roman" w:cs="Times New Roman"/>
          <w:bCs/>
          <w:sz w:val="28"/>
          <w:szCs w:val="28"/>
        </w:rPr>
        <w:tab/>
      </w:r>
      <w:r>
        <w:rPr>
          <w:rFonts w:ascii="Times New Roman" w:hAnsi="Times New Roman" w:cs="Times New Roman"/>
          <w:bCs/>
          <w:sz w:val="28"/>
          <w:szCs w:val="28"/>
        </w:rPr>
        <w:t>12</w:t>
      </w:r>
    </w:p>
    <w:p w14:paraId="01A3DCBB">
      <w:pPr>
        <w:pStyle w:val="19"/>
        <w:numPr>
          <w:ilvl w:val="0"/>
          <w:numId w:val="1"/>
        </w:numPr>
        <w:tabs>
          <w:tab w:val="right" w:leader="dot" w:pos="9350"/>
        </w:tabs>
        <w:rPr>
          <w:rFonts w:ascii="Times New Roman" w:hAnsi="Times New Roman" w:cs="Times New Roman"/>
          <w:bCs/>
          <w:sz w:val="28"/>
          <w:szCs w:val="28"/>
        </w:rPr>
      </w:pPr>
      <w:r>
        <w:rPr>
          <w:rFonts w:ascii="Times New Roman" w:hAnsi="Times New Roman" w:cs="Times New Roman"/>
          <w:bCs/>
          <w:sz w:val="28"/>
          <w:szCs w:val="28"/>
        </w:rPr>
        <w:t>Tools and Technologies</w:t>
      </w:r>
      <w:r>
        <w:rPr>
          <w:rFonts w:ascii="Times New Roman" w:hAnsi="Times New Roman" w:cs="Times New Roman"/>
          <w:bCs/>
          <w:sz w:val="28"/>
          <w:szCs w:val="28"/>
        </w:rPr>
        <w:tab/>
      </w:r>
      <w:r>
        <w:rPr>
          <w:rFonts w:ascii="Times New Roman" w:hAnsi="Times New Roman" w:cs="Times New Roman"/>
          <w:bCs/>
          <w:sz w:val="28"/>
          <w:szCs w:val="28"/>
        </w:rPr>
        <w:t>16</w:t>
      </w:r>
    </w:p>
    <w:p w14:paraId="501432E3">
      <w:pPr>
        <w:pStyle w:val="19"/>
        <w:numPr>
          <w:ilvl w:val="0"/>
          <w:numId w:val="1"/>
        </w:numPr>
        <w:tabs>
          <w:tab w:val="right" w:leader="dot" w:pos="9350"/>
        </w:tabs>
        <w:rPr>
          <w:rFonts w:ascii="Times New Roman" w:hAnsi="Times New Roman" w:cs="Times New Roman"/>
          <w:bCs/>
          <w:sz w:val="28"/>
          <w:szCs w:val="28"/>
        </w:rPr>
      </w:pPr>
      <w:r>
        <w:rPr>
          <w:rFonts w:ascii="Times New Roman" w:hAnsi="Times New Roman" w:cs="Times New Roman"/>
          <w:bCs/>
          <w:sz w:val="28"/>
          <w:szCs w:val="28"/>
        </w:rPr>
        <w:t>Results and Expected Outcomes</w:t>
      </w:r>
      <w:r>
        <w:rPr>
          <w:rFonts w:ascii="Times New Roman" w:hAnsi="Times New Roman" w:cs="Times New Roman"/>
          <w:bCs/>
          <w:sz w:val="28"/>
          <w:szCs w:val="28"/>
        </w:rPr>
        <w:tab/>
      </w:r>
      <w:r>
        <w:rPr>
          <w:rFonts w:ascii="Times New Roman" w:hAnsi="Times New Roman" w:cs="Times New Roman"/>
          <w:bCs/>
          <w:sz w:val="28"/>
          <w:szCs w:val="28"/>
        </w:rPr>
        <w:t>19</w:t>
      </w:r>
    </w:p>
    <w:p w14:paraId="211E105B">
      <w:pPr>
        <w:pStyle w:val="19"/>
        <w:numPr>
          <w:ilvl w:val="0"/>
          <w:numId w:val="1"/>
        </w:numPr>
        <w:tabs>
          <w:tab w:val="right" w:leader="dot" w:pos="9350"/>
        </w:tabs>
        <w:rPr>
          <w:rFonts w:ascii="Times New Roman" w:hAnsi="Times New Roman" w:cs="Times New Roman"/>
          <w:bCs/>
          <w:sz w:val="28"/>
          <w:szCs w:val="28"/>
        </w:rPr>
      </w:pPr>
      <w:r>
        <w:rPr>
          <w:rFonts w:ascii="Times New Roman" w:hAnsi="Times New Roman" w:cs="Times New Roman"/>
          <w:bCs/>
          <w:sz w:val="28"/>
          <w:szCs w:val="28"/>
        </w:rPr>
        <w:t>Project Plan</w:t>
      </w:r>
      <w:r>
        <w:rPr>
          <w:rFonts w:ascii="Times New Roman" w:hAnsi="Times New Roman" w:cs="Times New Roman"/>
          <w:bCs/>
          <w:sz w:val="28"/>
          <w:szCs w:val="28"/>
        </w:rPr>
        <w:tab/>
      </w:r>
      <w:r>
        <w:rPr>
          <w:rFonts w:ascii="Times New Roman" w:hAnsi="Times New Roman" w:cs="Times New Roman"/>
          <w:bCs/>
          <w:sz w:val="28"/>
          <w:szCs w:val="28"/>
        </w:rPr>
        <w:t>21</w:t>
      </w:r>
    </w:p>
    <w:p w14:paraId="182C9B01">
      <w:pPr>
        <w:pStyle w:val="19"/>
        <w:numPr>
          <w:ilvl w:val="0"/>
          <w:numId w:val="1"/>
        </w:numPr>
        <w:tabs>
          <w:tab w:val="right" w:leader="dot" w:pos="9350"/>
        </w:tabs>
        <w:rPr>
          <w:rFonts w:ascii="Times New Roman" w:hAnsi="Times New Roman" w:cs="Times New Roman"/>
          <w:bCs/>
          <w:sz w:val="28"/>
          <w:szCs w:val="28"/>
        </w:rPr>
      </w:pPr>
      <w:r>
        <w:rPr>
          <w:rFonts w:ascii="Times New Roman" w:hAnsi="Times New Roman" w:cs="Times New Roman"/>
          <w:bCs/>
          <w:sz w:val="28"/>
          <w:szCs w:val="28"/>
        </w:rPr>
        <w:t>References</w:t>
      </w:r>
      <w:r>
        <w:rPr>
          <w:rFonts w:ascii="Times New Roman" w:hAnsi="Times New Roman" w:cs="Times New Roman"/>
          <w:bCs/>
          <w:sz w:val="28"/>
          <w:szCs w:val="28"/>
        </w:rPr>
        <w:tab/>
      </w:r>
      <w:r>
        <w:rPr>
          <w:rFonts w:ascii="Times New Roman" w:hAnsi="Times New Roman" w:cs="Times New Roman"/>
          <w:bCs/>
          <w:sz w:val="28"/>
          <w:szCs w:val="28"/>
        </w:rPr>
        <w:t>23</w:t>
      </w:r>
    </w:p>
    <w:p w14:paraId="0B18C0C4">
      <w:pPr>
        <w:pageBreakBefore/>
        <w:rPr>
          <w:rFonts w:ascii="Times New Roman" w:hAnsi="Times New Roman" w:cs="Times New Roman"/>
          <w:b/>
          <w:sz w:val="40"/>
          <w:szCs w:val="40"/>
        </w:rPr>
      </w:pPr>
      <w:r>
        <w:rPr>
          <w:rFonts w:ascii="Times New Roman" w:hAnsi="Times New Roman" w:cs="Times New Roman"/>
          <w:b/>
          <w:sz w:val="40"/>
          <w:szCs w:val="40"/>
        </w:rPr>
        <w:t>Abstract</w:t>
      </w:r>
    </w:p>
    <w:p w14:paraId="79D796FE">
      <w:pPr>
        <w:pStyle w:val="19"/>
        <w:spacing w:line="360" w:lineRule="auto"/>
        <w:ind w:left="360"/>
        <w:rPr>
          <w:rFonts w:ascii="Times New Roman" w:hAnsi="Times New Roman" w:cs="Times New Roman"/>
          <w:sz w:val="28"/>
          <w:szCs w:val="28"/>
        </w:rPr>
      </w:pPr>
      <w:r>
        <w:rPr>
          <w:rFonts w:ascii="Times New Roman" w:hAnsi="Times New Roman" w:cs="Times New Roman"/>
          <w:sz w:val="28"/>
          <w:szCs w:val="28"/>
        </w:rPr>
        <w:t>Money laundering conceals illegally obtained funds by disguising them as legitimate income, undermining the integrity of the global financial system; the United Nations Office on Drugs and Crime estimates that 2-5% of global GDP, equivalent to roughly USD 800 billion to 2 trillion, is laundered every year. Traditional Anti-Money Laundering (AML) systems rely on static, rule-based thresholds that generate excessive false positives or fail to catch emerging laundering patterns, while pure machine-learning approaches struggle with severe class imbalance and lack the explainability that regulators demand. This project presents a hybrid AML Compliance and Surveillance Platform that fuses FATF-based heuristic rules with a trained XGBoost machine-learning classifier to detect suspicious transactions in real time. A PySpark and Pandas pipeline extracts 28 engineered features per transaction from a 9.5 million-plus record benchmark dataset, covering behavioural velocity, structuring proximity to the $10,000 reporting threshold, and network fan-in/fan-out ratios, and a composite 0-100 risk-scoring engine fuses the rule and model outputs into a single explainable score. Built on a FastAPI backend with a SQLite (WAL-mode) datastore, the platform offers an interactive compliance dashboard for alert triage, an interactive money-flow graph, a transaction sandbox, and automated Suspicious Activity Report (SAR) filing. Trained on 400,000 transactions and evaluated on a held-out set of 100,000, the model achieved 99.95% accuracy, a 0.992 ROC-AUC, a 0.693 PR-AUC, 91.43% precision, and 57.66% recall, showing that a hybrid detection approach can deliver both high accuracy and the explainability that financial regulators require. The remainder of this synopsis details the background and motivation for the project, surveys related work, describes the system's design and implementation in depth, documents the tools and technologies used, reports the evaluation results and expected real-world outcomes, and lays out the project plan and references that informed the work.</w:t>
      </w:r>
    </w:p>
    <w:p w14:paraId="723D63BB">
      <w:pPr>
        <w:pStyle w:val="19"/>
        <w:pageBreakBefore/>
        <w:numPr>
          <w:ilvl w:val="0"/>
          <w:numId w:val="2"/>
        </w:numPr>
        <w:rPr>
          <w:rFonts w:ascii="Times New Roman" w:hAnsi="Times New Roman" w:cs="Times New Roman"/>
          <w:b/>
          <w:sz w:val="36"/>
          <w:szCs w:val="36"/>
        </w:rPr>
      </w:pPr>
      <w:r>
        <w:rPr>
          <w:rFonts w:ascii="Times New Roman" w:hAnsi="Times New Roman" w:cs="Times New Roman"/>
          <w:b/>
          <w:sz w:val="40"/>
          <w:szCs w:val="40"/>
        </w:rPr>
        <w:t>Introduction</w:t>
      </w:r>
    </w:p>
    <w:p w14:paraId="3DAFBA2C">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Background</w:t>
      </w:r>
    </w:p>
    <w:p w14:paraId="7BF49BBC">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Money laundering is the process of disguising the proceeds of crime as legitimate funds so they can be used without attracting the attention of regulators or law enforcement. The Financial Action Task Force (FATF) describes this process in three stages: Placement, where illicit cash first enters the financial system, often in small amounts to avoid reporting thresholds; Layering, where the funds are moved through complex chains of transfers, shell companies, and cross-border corridors to obscure their origin; and Integration, where the now-laundered funds re-enter the legitimate economy through investments, real estate, or business revenue. Regulators such as FinCEN in the United States require financial institutions to monitor transactions for these patterns and to file Suspicious Activity Reports (SARs), and non-compliance has resulted in billions of dollars in penalties against banks worldwide over the past decade. As digital payments, cross-border remittances, and online banking have grown, the sheer volume and velocity of transactions passing through modern financial systems has made manual, human-only surveillance practically impossible, pushing institutions toward automated, data-driven compliance tooling.</w:t>
      </w:r>
    </w:p>
    <w:p w14:paraId="20203E9C">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Motivation</w:t>
      </w:r>
    </w:p>
    <w:p w14:paraId="13C0CC3F">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The motivation for this project comes from a simple observation: the two dominant approaches to automated AML detection each solve only half of the problem. Rule-based systems are explainable and easy for auditors to trust, but they are rigid and generate overwhelming numbers of false positives. Machine-learning systems can spot subtle statistical patterns that no analyst would think to encode as a rule, but they are opaque, and an opaque system cannot justify a SAR filing to a regulator. A system that fuses both approaches, so that every decision carries both a rule-based justification and a data-driven confidence score, has the potential to reduce false positives without sacrificing the auditability that compliance teams depend on. This motivated the design choice, at the centre of this project, to treat rules and machine learning as complementary signals rather than competing techniques.</w:t>
      </w:r>
    </w:p>
    <w:p w14:paraId="5E8FA4A9">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Problem Statement</w:t>
      </w:r>
    </w:p>
    <w:p w14:paraId="689F9E90">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Financial institutions process millions of transactions every day, which makes manual review of every transaction infeasible. Rule-based AML systems that rely on fixed thresholds, such as the $10,000 Currency Transaction Report (CTR) rule, are rigid and easily bypassed by structuring transactions just below the reporting limit, and they tend to generate a high volume of false-positive alerts, with industry studies reporting that over 90% of traditional AML alerts turn out to be false positives, overwhelming compliance teams. Pure machine-learning models, on the other hand, must deal with an extreme class imbalance, since fewer than 0.2% of transactions are typically laundering-related, and their predictions are often difficult to explain to auditors and regulators. There is a clear need for a scalable, explainable detection system that combines the strengths of both approaches and supports compliance officers with actionable, well-justified alerts, without requiring institutions to replace their existing case-management workflows.</w:t>
      </w:r>
    </w:p>
    <w:p w14:paraId="79E042D0">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Objectives</w:t>
      </w:r>
    </w:p>
    <w:p w14:paraId="4476ADC0">
      <w:pPr>
        <w:pStyle w:val="19"/>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Build a hybrid detection engine that combines FATF-based heuristic rules with a trained XGBoost machine-learning model.</w:t>
      </w:r>
    </w:p>
    <w:p w14:paraId="6E088142">
      <w:pPr>
        <w:pStyle w:val="19"/>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Engineer 28+ behavioural, network, and statistical features from raw transaction data using PySpark and Pandas.</w:t>
      </w:r>
    </w:p>
    <w:p w14:paraId="6E5E134D">
      <w:pPr>
        <w:pStyle w:val="19"/>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Design a composite 0-100 risk-scoring engine that fuses rule and model outputs into a single explainable score.</w:t>
      </w:r>
    </w:p>
    <w:p w14:paraId="48E69735">
      <w:pPr>
        <w:pStyle w:val="19"/>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Develop an interactive compliance dashboard for alert triage, investigation, and automated SAR filing.</w:t>
      </w:r>
    </w:p>
    <w:p w14:paraId="24624397">
      <w:pPr>
        <w:pStyle w:val="19"/>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Ensure the platform scales to 10 million or more transactions and is deployable on cloud infrastructure such as AWS.</w:t>
      </w:r>
    </w:p>
    <w:p w14:paraId="5C60BBB8">
      <w:pPr>
        <w:pStyle w:val="19"/>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Achieve a detection accuracy above 99% and an ROC-AUC above 0.95 on held-out test data, while keeping the false-positive rate low enough for a compliance team to action every alert.</w:t>
      </w:r>
    </w:p>
    <w:p w14:paraId="4A1EE21F">
      <w:pPr>
        <w:pStyle w:val="19"/>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Provide a feature-level, human-readable explanation for every alert so that investigators and regulators can audit each decision.</w:t>
      </w:r>
    </w:p>
    <w:p w14:paraId="3C6E3F3E">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Scope of the Project</w:t>
      </w:r>
    </w:p>
    <w:p w14:paraId="2B58A024">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The platform covers the full detection lifecycle for a single financial institution: transaction ingestion, feature engineering, hybrid rule- and ML-based detection, composite risk scoring, alert management, and SAR generation. It was developed and validated on the SAML-D benchmark dataset (9.5 million-plus synthetic transactions modelled on real-world laundering typologies) and is designed to generalise to production transaction volumes of 10 million or more per batch. The current scope is limited to a single-currency, single-institution deployment; multi-institution consortium data sharing and real-time streaming ingestion are identified as extensions for future work rather than the current implementation.</w:t>
      </w:r>
    </w:p>
    <w:p w14:paraId="369F51D4">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Significance of the Study</w:t>
      </w:r>
    </w:p>
    <w:p w14:paraId="5859C0FC">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This project is significant for three reasons. First, it demonstrates a practical, working example of a hybrid detection architecture, rather than treating rules and machine learning as purely theoretical alternatives, which is useful both as an academic exercise and as a template for real institutions evaluating their own AML tooling. Second, by engineering explainable features and pairing them with a transparent risk-scoring formula, the project shows that high predictive accuracy and regulatory explainability are not mutually exclusive goals. Third, because the entire pipeline, from ingestion through dashboarding, is implemented end-to-end on freely available open-source tools, the approach is reproducible and extensible by other students and small institutions without requiring expensive proprietary compliance software.</w:t>
      </w:r>
    </w:p>
    <w:p w14:paraId="10FE1808">
      <w:pPr>
        <w:pStyle w:val="19"/>
        <w:pageBreakBefore/>
        <w:numPr>
          <w:ilvl w:val="0"/>
          <w:numId w:val="2"/>
        </w:numPr>
        <w:rPr>
          <w:rFonts w:ascii="Times New Roman" w:hAnsi="Times New Roman" w:cs="Times New Roman"/>
          <w:b/>
          <w:sz w:val="36"/>
          <w:szCs w:val="36"/>
        </w:rPr>
      </w:pPr>
      <w:r>
        <w:rPr>
          <w:rFonts w:ascii="Times New Roman" w:hAnsi="Times New Roman" w:cs="Times New Roman"/>
          <w:b/>
          <w:sz w:val="40"/>
          <w:szCs w:val="40"/>
        </w:rPr>
        <w:t>Literature Review</w:t>
      </w:r>
    </w:p>
    <w:p w14:paraId="22374A24">
      <w:pPr>
        <w:pStyle w:val="19"/>
        <w:spacing w:line="360" w:lineRule="auto"/>
        <w:ind w:left="360"/>
        <w:rPr>
          <w:rFonts w:ascii="Times New Roman" w:hAnsi="Times New Roman" w:cs="Times New Roman"/>
          <w:sz w:val="28"/>
          <w:szCs w:val="28"/>
        </w:rPr>
      </w:pPr>
      <w:r>
        <w:rPr>
          <w:rFonts w:ascii="Times New Roman" w:hAnsi="Times New Roman" w:cs="Times New Roman"/>
          <w:sz w:val="28"/>
          <w:szCs w:val="28"/>
        </w:rPr>
        <w:t>A range of approaches to automated AML detection have been studied in industry and academia, each with distinct trade-offs between accuracy, cost, and explainability. This section reviews the main families of approaches, compares their strengths and weaknesses, and identifies the gap that this project addresses.</w:t>
      </w:r>
    </w:p>
    <w:p w14:paraId="094C4DA7">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Rule-Based Systems</w:t>
      </w:r>
    </w:p>
    <w:p w14:paraId="5F3A4A18">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Rule-based systems apply fixed thresholds, such as the $10,000 CTR rule or a maximum daily transaction count, to flag suspicious activity. They are simple to implement and fully explainable, since every alert can be traced back to the specific rule that triggered it, which makes them easy for auditors and regulators to review. However, they are rigid: launderers can easily structure transactions just below a known threshold, spreading a large sum across many smaller transfers, and legitimate high-volume customers, such as businesses with genuinely large cash flows, often trigger the same rules. Studies of deployed rule-based systems have placed false-positive rates above 90%, meaning compliance teams spend the vast majority of their time clearing alerts that were never actually suspicious.</w:t>
      </w:r>
    </w:p>
    <w:p w14:paraId="26AB0700">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Traditional Machine Learning</w:t>
      </w:r>
    </w:p>
    <w:p w14:paraId="71FEB387">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Logistic Regression and Random Forest classifiers offer better pattern recognition than static rules and have been used in several published AML studies to model transaction risk as a function of dozens of features, such as transaction amount, frequency, and counterparty history. However, because laundering transactions typically make up less than 0.2-1% of all transactions in these studies, standard classifiers trained without correcting for class imbalance tend to default to predicting the majority (legitimate) class, giving misleadingly high accuracy but very poor recall on the minority class, which is precisely the class that matters for compliance. Techniques such as oversampling the minority class or undersampling the majority class have been explored in the literature, with mixed success and a tendency to overfit on synthetic minority examples.</w:t>
      </w:r>
    </w:p>
    <w:p w14:paraId="63BD0A95">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Graph-Based Approaches</w:t>
      </w:r>
    </w:p>
    <w:p w14:paraId="6DC35F04">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Because laundering typically involves multiple accounts and intermediaries, graph-based methods model transactions as a network and look for structural patterns such as circular routing, fan-in/fan-out hubs, and short cycles between accounts. These methods can catch layering schemes that purely tabular models miss, since a set of individually unremarkable transactions can still form a suspicious network pattern when viewed together. The drawback is that full graph traversal and community-detection algorithms, such as those used to find dense subgraphs or cycles, are computationally expensive at the scale of tens of millions of transactions, which limits their use in real-time monitoring without significant infrastructure investment.</w:t>
      </w:r>
    </w:p>
    <w:p w14:paraId="76DA89A6">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Deep Learning</w:t>
      </w:r>
    </w:p>
    <w:p w14:paraId="2021217E">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Artificial Neural Networks (ANNs) and more recent Graph Neural Networks have shown strong accuracy in research settings by learning complex, non-linear interactions between features automatically, without requiring an analyst to hand-engineer every feature. Their drawbacks for AML in practice are a lack of explainability, since regulators require a clear, auditable reason for every SAR filed and a black-box neural network cannot easily provide one, and comparatively slower training and inference on tabular financial data than gradient-boosted tree models such as XGBoost, which is an important practical consideration when a model must be retrained regularly as laundering patterns evolve.</w:t>
      </w:r>
    </w:p>
    <w:p w14:paraId="788F0502">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Comparative Summary</w:t>
      </w:r>
    </w:p>
    <w:p w14:paraId="2C9CB6E3">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Comparing the four families side by side, rule-based systems score highest on explainability and lowest on adaptability; traditional machine learning improves adaptability but struggles with class imbalance; graph-based methods capture network-level patterns that other methods miss but are the most expensive to run at scale; and deep learning offers the strongest raw pattern-recognition ability at the cost of explainability and training speed. No single family scores well on every dimension that a real institution cares about, which is the central observation motivating a hybrid design.</w:t>
      </w:r>
    </w:p>
    <w:p w14:paraId="7071C76E">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Research Gap</w:t>
      </w:r>
    </w:p>
    <w:p w14:paraId="4F7719DC">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Across the literature, most deployed solutions use either static rules or a machine-learning model in isolation rather than a fused, explainable hybrid approach. Where hybrid systems are discussed, they are often described only at a conceptual level, without a concrete, reproducible scoring formula for combining rule and model outputs. This project addresses that gap by combining a transparent FATF-based rules engine with a cost-sensitive XGBoost classifier and a weighted risk-scoring formula, so that every alert carries both a rule-based justification and a data-driven confidence score, and by publishing the exact formula and thresholds used so the approach can be reproduced and audited.</w:t>
      </w:r>
    </w:p>
    <w:p w14:paraId="1E72A430">
      <w:pPr>
        <w:pStyle w:val="19"/>
        <w:pageBreakBefore/>
        <w:numPr>
          <w:ilvl w:val="0"/>
          <w:numId w:val="2"/>
        </w:numPr>
        <w:rPr>
          <w:rFonts w:ascii="Times New Roman" w:hAnsi="Times New Roman" w:cs="Times New Roman"/>
          <w:b/>
          <w:sz w:val="36"/>
          <w:szCs w:val="36"/>
        </w:rPr>
      </w:pPr>
      <w:r>
        <w:rPr>
          <w:rFonts w:ascii="Times New Roman" w:hAnsi="Times New Roman" w:cs="Times New Roman"/>
          <w:b/>
          <w:sz w:val="40"/>
          <w:szCs w:val="40"/>
        </w:rPr>
        <w:t>Methodology</w:t>
      </w:r>
    </w:p>
    <w:p w14:paraId="651325B7">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System Architecture</w:t>
      </w:r>
    </w:p>
    <w:p w14:paraId="4B85F19C">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The platform follows an end-to-end pipeline. Raw transactions are first ingested from source data (the SAML-D AML benchmark dataset of 9.5 million-plus records was used for development and testing). A PySpark ETL stage then computes engineered features for every transaction. These features are passed in parallel to a rules engine and an XGBoost model, whose outputs are combined by a risk-scoring module into a single 0-100 score. Scored transactions, alerts, and account profiles are persisted in a SQLite database, and a FastAPI backend exposes this data to an interactive compliance dashboard used by investigators. Each stage is implemented as an independent module with a well-defined input and output contract, so that the ingestion layer, the feature pipeline, the detection engine, or the dashboard can each be modified, scaled, or replaced without requiring changes to the rest of the system.</w:t>
      </w:r>
    </w:p>
    <w:p w14:paraId="2F89365F">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Feature Engineering</w:t>
      </w:r>
    </w:p>
    <w:p w14:paraId="098BA371">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Twenty-eight engineered dimensions are extracted per transaction using PySpark window aggregations and Pandas vectorisation, grouped into four families. Amount-based features include the raw amount, its log transform, and its log-squared transform, which compress extreme dollar ranges and capture tail risk. Threshold-proximity features include a structuring-proximity score that measures how close a transaction sits to the $10,000 CTR threshold and flags amounts between $8,500 and $9,999. Behavioural features include a velocity/z-score metric that measures how far a transaction deviates from a sender's historical average, and time-based aggregates such as the number of transactions by the same sender in the past 24 hours. Network features include the fan-in and fan-out ratio, which distinguishes funnel accounts that receive from many senders from dispersal accounts that pay out to many receivers, and a corridor risk score that flags transactions to or from high-risk jurisdictions. The pipeline is designed to scale to 10 million-plus transactions, with a live stream simulator available to inject real-time batches for testing.</w:t>
      </w:r>
    </w:p>
    <w:p w14:paraId="427611F4">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Feature selection was guided by both domain knowledge from FATF typology reports and statistical analysis of feature importance during model development; features that contributed negligible predictive power in early XGBoost runs, such as raw transaction-timestamp fields, were dropped in favour of the derived velocity and recency features that carried the same information in a more model-friendly form. All features are computed deterministically from data already available at transaction time, so the system never depends on future information that would not be available in a genuine real-time deployment.</w:t>
      </w:r>
    </w:p>
    <w:p w14:paraId="74D0ECEE">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Hybrid Detection Engine</w:t>
      </w:r>
    </w:p>
    <w:p w14:paraId="1CFED672">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The rules engine applies FATF-style heuristics: structuring/smurfing detection for amounts between $8,500 and $9,999, high-risk jurisdiction checks against a list of countries including Panama, the Cayman Islands, the UAE, Cyprus, and the Bahamas, high-value outlier detection for single transactions above $50,000, and rapid pass-through velocity checks for funds that move in and out of an account within a short window. In parallel, an XGBoost classifier, an ultra-deep, 600-tree enterprise model, trained on 400,000 labelled samples estimates the probability that a transaction is part of a laundering scheme. Because more than 99.8% of transactions are legitimate, the model is trained with a cost-sensitive scale_pos_weight penalty that increases the gradient contribution of the minority (laundering) class, and its decision threshold (0.9844 in the current build) is tuned on the Precision-Recall curve rather than the default 0.5 cut-off.</w:t>
      </w:r>
    </w:p>
    <w:p w14:paraId="2E594295">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Running the rules engine and the ML model in parallel, rather than in a strict sequence, means that a transaction that narrowly misses a rule threshold can still be caught by the model, and a transaction that the model scores as only moderately suspicious can still be escalated if it clearly violates a hard rule such as the high-value outlier check. This parallel design also makes the system resilient to either component being temporarily unavailable: if the ML service is down for retraining, the rules engine alone can continue to provide baseline coverage, and vice versa.</w:t>
      </w:r>
    </w:p>
    <w:p w14:paraId="7F99202C">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Risk Scoring Engine</w:t>
      </w:r>
    </w:p>
    <w:p w14:paraId="3F6DD83A">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The final risk score is a weighted fusion of the rule score (R) and the ML score (S). When the rule score is 80 or above, the final score is 0.50 x R + 0.50 x S; otherwise it is 0.35 x R + 0.65 x S. This asymmetric weighting means that when a transaction has already triggered a severe rule violation, the rule evidence is given equal weight to the model, but for borderline cases the model's more nuanced probability estimate is trusted more heavily. Transactions scoring 75 or above are classified CRITICAL and trigger an instant SAR filing and account-freeze alert; 50-74 is HIGH and is escalated to a senior compliance officer; 25-49 is MEDIUM and is queued for batch audit review; and below 25 is LOW and clears automatically. Every score can be decomposed back into its rule violations and ML confidence, giving investigators a transparent, auditable basis for each decision.</w:t>
      </w:r>
    </w:p>
    <w:p w14:paraId="1E9EECF9">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Database Design</w:t>
      </w:r>
    </w:p>
    <w:p w14:paraId="0CD4C03B">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The platform uses a SQLite 3 database running in Write-Ahead Logging (WAL) mode, which allows concurrent reads and writes with no separate database server to configure. Five core tables drive the system: accounts (customer and account profiles), transactions (every processed transaction with its engineered features and final risk score), alerts (flagged transactions awaiting or under investigation, with a status of New, Under Investigation, or Closed), sar_reports (generated Suspicious Activity Reports), and system_metrics (aggregate statistics for the dashboard). The tables are indexed on sender account, receiver account, risk score, laundering flag, and date to keep dashboard queries fast even as transaction volume grows, and the schema is ANSI SQL-compatible, allowing a straightforward migration path to AWS RDS or Aurora for production-scale deployment.</w:t>
      </w:r>
    </w:p>
    <w:p w14:paraId="2D970C17">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Compliance Dashboard and Modules</w:t>
      </w:r>
    </w:p>
    <w:p w14:paraId="0E831DDA">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The dashboard is organised into five modules. The Executive Dashboard summarises intercepted AML dollars, alert volumes, typology breakdown, and overall risk distribution. The Alert Triage Queue lets investigators open a flagged case, review its rule and ML evidence, and update its status. The Money Flow Graph is an interactive Vis.js visualisation of the accounts and transfers around a flagged account, making circular routing and smurfing clusters visible at a glance. The Sandbox Tester lets a compliance officer submit a custom transaction and see its risk decomposition instantly, which is useful for training and rule validation. The Automated SAR Filing module generates a FinCEN-compliant Suspicious Activity Report in one click once an alert is confirmed.</w:t>
      </w:r>
    </w:p>
    <w:p w14:paraId="12A4E4EE">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Testing and Validation Strategy</w:t>
      </w:r>
    </w:p>
    <w:p w14:paraId="166657EC">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The system was validated at three levels. Unit tests cover individual feature-engineering functions and rule checks to confirm each computes the expected value on hand-crafted example transactions. Integration tests run the full pipeline, from raw transaction to final risk score, on a fixed sample batch and confirm the output is stable across runs. Model evaluation used a strict train/test split, with 400,000 transactions used for training and a fully held-out set of 100,000 transactions, never seen during training or threshold tuning, used to report the final accuracy, ROC-AUC, PR-AUC, precision, recall, and F1-score presented in the Results section of this synopsis.</w:t>
      </w:r>
    </w:p>
    <w:p w14:paraId="22182225">
      <w:pPr>
        <w:pStyle w:val="19"/>
        <w:pageBreakBefore/>
        <w:numPr>
          <w:ilvl w:val="0"/>
          <w:numId w:val="2"/>
        </w:numPr>
        <w:rPr>
          <w:rFonts w:ascii="Times New Roman" w:hAnsi="Times New Roman" w:cs="Times New Roman"/>
          <w:b/>
          <w:sz w:val="36"/>
          <w:szCs w:val="36"/>
        </w:rPr>
      </w:pPr>
      <w:r>
        <w:rPr>
          <w:rFonts w:ascii="Times New Roman" w:hAnsi="Times New Roman" w:cs="Times New Roman"/>
          <w:b/>
          <w:sz w:val="40"/>
          <w:szCs w:val="40"/>
        </w:rPr>
        <w:t>Tools and Technologies</w:t>
      </w:r>
    </w:p>
    <w:p w14:paraId="6AD9CB99">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Big Data and Machine Learning</w:t>
      </w:r>
    </w:p>
    <w:p w14:paraId="13D70903">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PySpark performs the distributed ETL and feature-engineering computations over the 9.5 million-plus transaction dataset, using its DataFrame API and window functions to compute per-account aggregates efficiently in parallel. XGBoost implements the 600-tree gradient-boosted classifier used for ML-based detection, chosen for its native handling of tabular data, built-in support for cost-sensitive class weighting, and fast training relative to deep-learning alternatives. NumPy and Pandas handle in-memory numerical processing, vectorised feature calculations, and data validation throughout the pipeline, and were used extensively during exploratory data analysis to understand the distribution of transaction amounts, account types, and laundering typologies in the SAML-D dataset before the pipeline was finalised.</w:t>
      </w:r>
    </w:p>
    <w:p w14:paraId="5FC9EF51">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Backend</w:t>
      </w:r>
    </w:p>
    <w:p w14:paraId="10AA09ED">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FastAPI serves the platform's REST API and business logic with automatic request validation and interactive OpenAPI documentation generated directly from the code, which made it straightforward to test endpoints during development without a separate API client. Uvicorn runs the FastAPI application as an ASGI server, providing asynchronous request handling so the dashboard remains responsive even while a batch of transactions is being scored in the background. Pydantic defines and validates the data models exchanged between the API and the dashboard, catching malformed requests before they reach the detection engine.</w:t>
      </w:r>
    </w:p>
    <w:p w14:paraId="29ED0025">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Database</w:t>
      </w:r>
    </w:p>
    <w:p w14:paraId="12812A13">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SQLite 3, running in Write-Ahead Logging (WAL) mode, stores accounts, transactions, alerts, SAR reports, and system metrics with no separate database server required, which kept the development and testing environment simple and portable, while remaining ANSI SQL-compatible for a future migration to AWS RDS or Aurora if the platform is deployed at production scale within a real institution.</w:t>
      </w:r>
    </w:p>
    <w:p w14:paraId="4555A471">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Frontend</w:t>
      </w:r>
    </w:p>
    <w:p w14:paraId="2D85BD50">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The compliance dashboard is built with HTML, CSS, and JavaScript, and uses Vis.js to render the interactive money-flow graph that visualises account relationships and transaction paths, letting an investigator drag, zoom, and click through a suspicious account's neighbourhood without needing a separate graph-database tool.</w:t>
      </w:r>
    </w:p>
    <w:p w14:paraId="456E6B34">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Deployment and Version Control</w:t>
      </w:r>
    </w:p>
    <w:p w14:paraId="595E9BA7">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Docker and Docker Compose package the application and its dependencies for consistent deployment across development and production environments, with a documented path to AWS (EC2 for compute, ECS for container orchestration, and S3 for data storage) so the platform can be scaled horizontally as transaction volume grows. Git is used to manage the codebase and track changes throughout development, with a clear commit history separating the ingestion pipeline, the detection engine, and the dashboard into independently reviewable units of work.</w:t>
      </w:r>
    </w:p>
    <w:p w14:paraId="236924C7">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Technology Justification</w:t>
      </w:r>
    </w:p>
    <w:p w14:paraId="3A8569A8">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Each technology choice was made with the project's dual goals of accuracy and explainability in mind. PySpark and XGBoost were preferred over a pure deep-learning stack because gradient-boosted trees expose feature importances directly, which feeds into the explainability requirement identified in the literature review. FastAPI and SQLite were chosen over a heavier microservice-and-cloud-database stack because they let the whole system run on a single machine during development and demonstration, while still being ANSI SQL and REST-API compatible enough to migrate to managed cloud services without a rewrite once production-scale volume and multi-user access are required.</w:t>
      </w:r>
    </w:p>
    <w:p w14:paraId="35B26FA5">
      <w:pPr>
        <w:pStyle w:val="19"/>
        <w:pageBreakBefore/>
        <w:numPr>
          <w:ilvl w:val="0"/>
          <w:numId w:val="2"/>
        </w:numPr>
        <w:rPr>
          <w:rFonts w:ascii="Times New Roman" w:hAnsi="Times New Roman" w:cs="Times New Roman"/>
          <w:b/>
          <w:sz w:val="36"/>
          <w:szCs w:val="36"/>
        </w:rPr>
      </w:pPr>
      <w:r>
        <w:rPr>
          <w:rFonts w:ascii="Times New Roman" w:hAnsi="Times New Roman" w:cs="Times New Roman"/>
          <w:b/>
          <w:sz w:val="40"/>
          <w:szCs w:val="40"/>
        </w:rPr>
        <w:t>Results and Expected Outcomes</w:t>
      </w:r>
    </w:p>
    <w:p w14:paraId="69635A57">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Model Performance</w:t>
      </w:r>
    </w:p>
    <w:p w14:paraId="0FA54549">
      <w:pPr>
        <w:pStyle w:val="19"/>
        <w:spacing w:line="360" w:lineRule="auto"/>
        <w:ind w:left="360"/>
        <w:rPr>
          <w:rFonts w:ascii="Times New Roman" w:hAnsi="Times New Roman" w:cs="Times New Roman"/>
          <w:sz w:val="28"/>
          <w:szCs w:val="28"/>
        </w:rPr>
      </w:pPr>
      <w:r>
        <w:rPr>
          <w:rFonts w:ascii="Times New Roman" w:hAnsi="Times New Roman" w:cs="Times New Roman"/>
          <w:sz w:val="28"/>
          <w:szCs w:val="28"/>
        </w:rPr>
        <w:t>The hybrid model was trained on 400,000 transactions and evaluated on a held-out test set of 100,000 transactions. It achieved the following results:</w:t>
      </w:r>
    </w:p>
    <w:p w14:paraId="0C20F141">
      <w:pPr>
        <w:pStyle w:val="19"/>
        <w:numPr>
          <w:ilvl w:val="0"/>
          <w:numId w:val="4"/>
        </w:numPr>
        <w:spacing w:line="360" w:lineRule="auto"/>
        <w:rPr>
          <w:rFonts w:ascii="Times New Roman" w:hAnsi="Times New Roman" w:cs="Times New Roman"/>
          <w:sz w:val="28"/>
          <w:szCs w:val="28"/>
        </w:rPr>
      </w:pPr>
      <w:r>
        <w:rPr>
          <w:rFonts w:ascii="Times New Roman" w:hAnsi="Times New Roman" w:cs="Times New Roman"/>
          <w:b/>
          <w:sz w:val="28"/>
          <w:szCs w:val="28"/>
        </w:rPr>
        <w:t xml:space="preserve">Accuracy: </w:t>
      </w:r>
      <w:r>
        <w:rPr>
          <w:rFonts w:ascii="Times New Roman" w:hAnsi="Times New Roman" w:cs="Times New Roman"/>
          <w:sz w:val="28"/>
          <w:szCs w:val="28"/>
        </w:rPr>
        <w:t>99.95%</w:t>
      </w:r>
    </w:p>
    <w:p w14:paraId="622359F4">
      <w:pPr>
        <w:pStyle w:val="19"/>
        <w:numPr>
          <w:ilvl w:val="0"/>
          <w:numId w:val="4"/>
        </w:numPr>
        <w:spacing w:line="360" w:lineRule="auto"/>
        <w:rPr>
          <w:rFonts w:ascii="Times New Roman" w:hAnsi="Times New Roman" w:cs="Times New Roman"/>
          <w:sz w:val="28"/>
          <w:szCs w:val="28"/>
        </w:rPr>
      </w:pPr>
      <w:r>
        <w:rPr>
          <w:rFonts w:ascii="Times New Roman" w:hAnsi="Times New Roman" w:cs="Times New Roman"/>
          <w:b/>
          <w:sz w:val="28"/>
          <w:szCs w:val="28"/>
        </w:rPr>
        <w:t xml:space="preserve">ROC-AUC: </w:t>
      </w:r>
      <w:r>
        <w:rPr>
          <w:rFonts w:ascii="Times New Roman" w:hAnsi="Times New Roman" w:cs="Times New Roman"/>
          <w:sz w:val="28"/>
          <w:szCs w:val="28"/>
        </w:rPr>
        <w:t>0.992</w:t>
      </w:r>
    </w:p>
    <w:p w14:paraId="36BB5CC8">
      <w:pPr>
        <w:pStyle w:val="19"/>
        <w:numPr>
          <w:ilvl w:val="0"/>
          <w:numId w:val="4"/>
        </w:numPr>
        <w:spacing w:line="360" w:lineRule="auto"/>
        <w:rPr>
          <w:rFonts w:ascii="Times New Roman" w:hAnsi="Times New Roman" w:cs="Times New Roman"/>
          <w:sz w:val="28"/>
          <w:szCs w:val="28"/>
        </w:rPr>
      </w:pPr>
      <w:r>
        <w:rPr>
          <w:rFonts w:ascii="Times New Roman" w:hAnsi="Times New Roman" w:cs="Times New Roman"/>
          <w:b/>
          <w:sz w:val="28"/>
          <w:szCs w:val="28"/>
        </w:rPr>
        <w:t xml:space="preserve">PR-AUC: </w:t>
      </w:r>
      <w:r>
        <w:rPr>
          <w:rFonts w:ascii="Times New Roman" w:hAnsi="Times New Roman" w:cs="Times New Roman"/>
          <w:sz w:val="28"/>
          <w:szCs w:val="28"/>
        </w:rPr>
        <w:t>0.693</w:t>
      </w:r>
    </w:p>
    <w:p w14:paraId="6C2F6550">
      <w:pPr>
        <w:pStyle w:val="19"/>
        <w:numPr>
          <w:ilvl w:val="0"/>
          <w:numId w:val="4"/>
        </w:numPr>
        <w:spacing w:line="360" w:lineRule="auto"/>
        <w:rPr>
          <w:rFonts w:ascii="Times New Roman" w:hAnsi="Times New Roman" w:cs="Times New Roman"/>
          <w:sz w:val="28"/>
          <w:szCs w:val="28"/>
        </w:rPr>
      </w:pPr>
      <w:r>
        <w:rPr>
          <w:rFonts w:ascii="Times New Roman" w:hAnsi="Times New Roman" w:cs="Times New Roman"/>
          <w:b/>
          <w:sz w:val="28"/>
          <w:szCs w:val="28"/>
        </w:rPr>
        <w:t xml:space="preserve">Precision: </w:t>
      </w:r>
      <w:r>
        <w:rPr>
          <w:rFonts w:ascii="Times New Roman" w:hAnsi="Times New Roman" w:cs="Times New Roman"/>
          <w:sz w:val="28"/>
          <w:szCs w:val="28"/>
        </w:rPr>
        <w:t>91.43%</w:t>
      </w:r>
    </w:p>
    <w:p w14:paraId="7E18CE65">
      <w:pPr>
        <w:pStyle w:val="19"/>
        <w:numPr>
          <w:ilvl w:val="0"/>
          <w:numId w:val="4"/>
        </w:numPr>
        <w:spacing w:line="360" w:lineRule="auto"/>
        <w:rPr>
          <w:rFonts w:ascii="Times New Roman" w:hAnsi="Times New Roman" w:cs="Times New Roman"/>
          <w:sz w:val="28"/>
          <w:szCs w:val="28"/>
        </w:rPr>
      </w:pPr>
      <w:r>
        <w:rPr>
          <w:rFonts w:ascii="Times New Roman" w:hAnsi="Times New Roman" w:cs="Times New Roman"/>
          <w:b/>
          <w:sz w:val="28"/>
          <w:szCs w:val="28"/>
        </w:rPr>
        <w:t xml:space="preserve">Recall: </w:t>
      </w:r>
      <w:r>
        <w:rPr>
          <w:rFonts w:ascii="Times New Roman" w:hAnsi="Times New Roman" w:cs="Times New Roman"/>
          <w:sz w:val="28"/>
          <w:szCs w:val="28"/>
        </w:rPr>
        <w:t>57.66%</w:t>
      </w:r>
    </w:p>
    <w:p w14:paraId="40DD5F95">
      <w:pPr>
        <w:pStyle w:val="19"/>
        <w:numPr>
          <w:ilvl w:val="0"/>
          <w:numId w:val="4"/>
        </w:numPr>
        <w:spacing w:line="360" w:lineRule="auto"/>
        <w:rPr>
          <w:rFonts w:ascii="Times New Roman" w:hAnsi="Times New Roman" w:cs="Times New Roman"/>
          <w:sz w:val="28"/>
          <w:szCs w:val="28"/>
        </w:rPr>
      </w:pPr>
      <w:r>
        <w:rPr>
          <w:rFonts w:ascii="Times New Roman" w:hAnsi="Times New Roman" w:cs="Times New Roman"/>
          <w:b/>
          <w:sz w:val="28"/>
          <w:szCs w:val="28"/>
        </w:rPr>
        <w:t xml:space="preserve">F1-Score: </w:t>
      </w:r>
      <w:r>
        <w:rPr>
          <w:rFonts w:ascii="Times New Roman" w:hAnsi="Times New Roman" w:cs="Times New Roman"/>
          <w:sz w:val="28"/>
          <w:szCs w:val="28"/>
        </w:rPr>
        <w:t>70.72%</w:t>
      </w:r>
    </w:p>
    <w:p w14:paraId="793D1637">
      <w:pPr>
        <w:pStyle w:val="19"/>
        <w:numPr>
          <w:ilvl w:val="0"/>
          <w:numId w:val="4"/>
        </w:numPr>
        <w:spacing w:line="360" w:lineRule="auto"/>
        <w:rPr>
          <w:rFonts w:ascii="Times New Roman" w:hAnsi="Times New Roman" w:cs="Times New Roman"/>
          <w:sz w:val="28"/>
          <w:szCs w:val="28"/>
        </w:rPr>
      </w:pPr>
      <w:r>
        <w:rPr>
          <w:rFonts w:ascii="Times New Roman" w:hAnsi="Times New Roman" w:cs="Times New Roman"/>
          <w:b/>
          <w:sz w:val="28"/>
          <w:szCs w:val="28"/>
        </w:rPr>
        <w:t xml:space="preserve">Confusion Matrix: </w:t>
      </w:r>
      <w:r>
        <w:rPr>
          <w:rFonts w:ascii="Times New Roman" w:hAnsi="Times New Roman" w:cs="Times New Roman"/>
          <w:sz w:val="28"/>
          <w:szCs w:val="28"/>
        </w:rPr>
        <w:t>64 true positives, 47 false negatives, 6 false positives, and 99,883 true negatives.</w:t>
      </w:r>
    </w:p>
    <w:p w14:paraId="53A1BBBC">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The high precision keeps analyst workload low from false alarms, while the optimised decision threshold (0.9844) balances detection sensitivity with realistic investigator capacity.</w:t>
      </w:r>
    </w:p>
    <w:p w14:paraId="4365AC0E">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Comparative Analysis</w:t>
      </w:r>
    </w:p>
    <w:p w14:paraId="04CEBE4D">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Compared with a rules-only baseline, which the literature review noted can produce false-positive rates above 90%, the hybrid engine's 91.43% precision represents a substantial reduction in the number of legitimate transactions an investigator must review per genuine laundering case caught. Compared with a pure machine-learning baseline trained without cost-sensitive weighting, informal testing during development showed the uncorrected model collapsing to near-zero recall on the minority class, confirming that the scale_pos_weight correction and the rule-engine's complementary coverage were both necessary to reach the reported performance.</w:t>
      </w:r>
    </w:p>
    <w:p w14:paraId="387B65D1">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Expected Real-World Impact</w:t>
      </w:r>
    </w:p>
    <w:p w14:paraId="043A9452">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Beyond the raw evaluation metrics, the platform is expected to reduce manual alert-review effort by cutting false positives relative to a pure rule-based baseline, to shorten the time between a suspicious transaction occurring and a SAR being filed through the automated filing module, and to give compliance officers an auditable, feature-level explanation for every flagged transaction, directly addressing the explainability gap identified in the literature review. For a mid-sized institution processing on the order of a million transactions a month, even a modest reduction in false-positive rate translates into meaningfully fewer hours of manual review per month for the compliance team.</w:t>
      </w:r>
    </w:p>
    <w:p w14:paraId="0B834832">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Limitations</w:t>
      </w:r>
    </w:p>
    <w:p w14:paraId="21081408">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The reported metrics were obtained on the SAML-D synthetic benchmark dataset rather than live production data, so real-world performance may differ once the model encounters laundering typologies or customer behaviour not represented in the training data. The current recall of 57.66% also means that a meaningful share of laundering transactions in the test set were not flagged at the tuned threshold; lowering the threshold would raise recall at the cost of more false positives, and the appropriate trade-off ultimately depends on an institution's own compliance capacity and risk appetite rather than a single universally correct setting.</w:t>
      </w:r>
    </w:p>
    <w:p w14:paraId="29347308">
      <w:pPr>
        <w:pStyle w:val="19"/>
        <w:pageBreakBefore/>
        <w:numPr>
          <w:ilvl w:val="0"/>
          <w:numId w:val="2"/>
        </w:numPr>
        <w:rPr>
          <w:rFonts w:ascii="Times New Roman" w:hAnsi="Times New Roman" w:cs="Times New Roman"/>
          <w:b/>
          <w:sz w:val="36"/>
          <w:szCs w:val="36"/>
        </w:rPr>
      </w:pPr>
      <w:r>
        <w:rPr>
          <w:rFonts w:ascii="Times New Roman" w:hAnsi="Times New Roman" w:cs="Times New Roman"/>
          <w:b/>
          <w:sz w:val="40"/>
          <w:szCs w:val="40"/>
        </w:rPr>
        <w:t>Project Plan</w:t>
      </w:r>
    </w:p>
    <w:p w14:paraId="11A14840">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Phases and Timeline</w:t>
      </w:r>
    </w:p>
    <w:p w14:paraId="579D9BB9">
      <w:pPr>
        <w:pStyle w:val="19"/>
        <w:spacing w:line="360" w:lineRule="auto"/>
        <w:ind w:left="360"/>
        <w:rPr>
          <w:rFonts w:ascii="Times New Roman" w:hAnsi="Times New Roman" w:cs="Times New Roman"/>
          <w:sz w:val="28"/>
          <w:szCs w:val="28"/>
        </w:rPr>
      </w:pPr>
      <w:r>
        <w:rPr>
          <w:rFonts w:ascii="Times New Roman" w:hAnsi="Times New Roman" w:cs="Times New Roman"/>
          <w:sz w:val="28"/>
          <w:szCs w:val="28"/>
        </w:rPr>
        <w:t>The project was carried out in five phases over the course of the exploratory project timeline:</w:t>
      </w:r>
    </w:p>
    <w:p w14:paraId="7C57C73D">
      <w:pPr>
        <w:pStyle w:val="19"/>
        <w:numPr>
          <w:ilvl w:val="0"/>
          <w:numId w:val="5"/>
        </w:numPr>
        <w:spacing w:line="360" w:lineRule="auto"/>
        <w:rPr>
          <w:rFonts w:ascii="Times New Roman" w:hAnsi="Times New Roman" w:cs="Times New Roman"/>
          <w:sz w:val="28"/>
          <w:szCs w:val="28"/>
        </w:rPr>
      </w:pPr>
      <w:r>
        <w:rPr>
          <w:rFonts w:ascii="Times New Roman" w:hAnsi="Times New Roman" w:cs="Times New Roman"/>
          <w:sz w:val="28"/>
          <w:szCs w:val="28"/>
        </w:rPr>
        <w:t>Requirement Analysis and Literature Review (Weeks 1-2): studied FATF typologies, existing rule-based, ML, and graph-based approaches to AML, and finalised the system requirements and success metrics.</w:t>
      </w:r>
    </w:p>
    <w:p w14:paraId="64CCDC43">
      <w:pPr>
        <w:pStyle w:val="19"/>
        <w:numPr>
          <w:ilvl w:val="0"/>
          <w:numId w:val="5"/>
        </w:numPr>
        <w:spacing w:line="360" w:lineRule="auto"/>
        <w:rPr>
          <w:rFonts w:ascii="Times New Roman" w:hAnsi="Times New Roman" w:cs="Times New Roman"/>
          <w:sz w:val="28"/>
          <w:szCs w:val="28"/>
        </w:rPr>
      </w:pPr>
      <w:r>
        <w:rPr>
          <w:rFonts w:ascii="Times New Roman" w:hAnsi="Times New Roman" w:cs="Times New Roman"/>
          <w:sz w:val="28"/>
          <w:szCs w:val="28"/>
        </w:rPr>
        <w:t>Data Pipeline and Feature Engineering (Weeks 3-5): built the PySpark/Pandas ingestion pipeline on the SAML-D dataset and engineered the 28 behavioural, amount-based, threshold-proximity, and network features.</w:t>
      </w:r>
    </w:p>
    <w:p w14:paraId="6FC74C6C">
      <w:pPr>
        <w:pStyle w:val="19"/>
        <w:numPr>
          <w:ilvl w:val="0"/>
          <w:numId w:val="5"/>
        </w:numPr>
        <w:spacing w:line="360" w:lineRule="auto"/>
        <w:rPr>
          <w:rFonts w:ascii="Times New Roman" w:hAnsi="Times New Roman" w:cs="Times New Roman"/>
          <w:sz w:val="28"/>
          <w:szCs w:val="28"/>
        </w:rPr>
      </w:pPr>
      <w:r>
        <w:rPr>
          <w:rFonts w:ascii="Times New Roman" w:hAnsi="Times New Roman" w:cs="Times New Roman"/>
          <w:sz w:val="28"/>
          <w:szCs w:val="28"/>
        </w:rPr>
        <w:t>Model Development and Training (Weeks 6-8): implemented the FATF rules engine, trained and tuned the 600-tree XGBoost classifier with cost-sensitive weighting, and built the hybrid risk-scoring module.</w:t>
      </w:r>
    </w:p>
    <w:p w14:paraId="08FDBE8D">
      <w:pPr>
        <w:pStyle w:val="19"/>
        <w:numPr>
          <w:ilvl w:val="0"/>
          <w:numId w:val="5"/>
        </w:numPr>
        <w:spacing w:line="360" w:lineRule="auto"/>
        <w:rPr>
          <w:rFonts w:ascii="Times New Roman" w:hAnsi="Times New Roman" w:cs="Times New Roman"/>
          <w:sz w:val="28"/>
          <w:szCs w:val="28"/>
        </w:rPr>
      </w:pPr>
      <w:r>
        <w:rPr>
          <w:rFonts w:ascii="Times New Roman" w:hAnsi="Times New Roman" w:cs="Times New Roman"/>
          <w:sz w:val="28"/>
          <w:szCs w:val="28"/>
        </w:rPr>
        <w:t>Dashboard and API Integration (Weeks 9-10): developed the FastAPI backend and the interactive compliance dashboard, including the alert triage queue, the money-flow graph, the sandbox tester, and automated SAR filing.</w:t>
      </w:r>
    </w:p>
    <w:p w14:paraId="0CC311F5">
      <w:pPr>
        <w:pStyle w:val="19"/>
        <w:numPr>
          <w:ilvl w:val="0"/>
          <w:numId w:val="5"/>
        </w:numPr>
        <w:spacing w:line="360" w:lineRule="auto"/>
        <w:rPr>
          <w:rFonts w:ascii="Times New Roman" w:hAnsi="Times New Roman" w:cs="Times New Roman"/>
          <w:sz w:val="28"/>
          <w:szCs w:val="28"/>
        </w:rPr>
      </w:pPr>
      <w:r>
        <w:rPr>
          <w:rFonts w:ascii="Times New Roman" w:hAnsi="Times New Roman" w:cs="Times New Roman"/>
          <w:sz w:val="28"/>
          <w:szCs w:val="28"/>
        </w:rPr>
        <w:t>Testing, Evaluation, and Documentation (Weeks 11-12): evaluated the model on a held-out test set of 100,000 transactions, validated end-to-end system behaviour, and prepared the project report and synopsis.</w:t>
      </w:r>
    </w:p>
    <w:p w14:paraId="5C6EBBAD">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Resource Requirements</w:t>
      </w:r>
    </w:p>
    <w:p w14:paraId="446D2D69">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The project required a single development machine capable of running PySpark locally, at least 16 GB of RAM to comfortably process the 9.5 million-plus record dataset in memory during feature engineering, and standard open-source software only, with no paid licences: Python, PySpark, XGBoost, FastAPI, SQLite, and Docker. Optional cloud resources (an AWS EC2 instance and S3 bucket) were identified for a future production deployment but were not required to complete the exploratory project itself.</w:t>
      </w:r>
    </w:p>
    <w:p w14:paraId="09155C79">
      <w:pPr>
        <w:pStyle w:val="19"/>
        <w:numPr>
          <w:ilvl w:val="1"/>
          <w:numId w:val="2"/>
        </w:numPr>
        <w:rPr>
          <w:rFonts w:ascii="Times New Roman" w:hAnsi="Times New Roman" w:cs="Times New Roman"/>
          <w:b/>
          <w:sz w:val="32"/>
          <w:szCs w:val="32"/>
        </w:rPr>
      </w:pPr>
      <w:r>
        <w:rPr>
          <w:rFonts w:ascii="Times New Roman" w:hAnsi="Times New Roman" w:cs="Times New Roman"/>
          <w:b/>
          <w:sz w:val="32"/>
          <w:szCs w:val="32"/>
        </w:rPr>
        <w:t>Risk Management</w:t>
      </w:r>
    </w:p>
    <w:p w14:paraId="2939AD85">
      <w:pPr>
        <w:pStyle w:val="19"/>
        <w:spacing w:line="360" w:lineRule="auto"/>
        <w:ind w:left="792"/>
        <w:rPr>
          <w:rFonts w:ascii="Times New Roman" w:hAnsi="Times New Roman" w:cs="Times New Roman"/>
          <w:sz w:val="28"/>
          <w:szCs w:val="28"/>
        </w:rPr>
      </w:pPr>
      <w:r>
        <w:rPr>
          <w:rFonts w:ascii="Times New Roman" w:hAnsi="Times New Roman" w:cs="Times New Roman"/>
          <w:sz w:val="28"/>
          <w:szCs w:val="28"/>
        </w:rPr>
        <w:t>The main technical risk identified at the start of the project was that a pure machine-learning model would fail to achieve usable recall on such a heavily imbalanced dataset; this was mitigated by adopting cost-sensitive training early and by keeping the FATF rules engine as an independent detection path rather than depending on the model alone. A second risk was that the feature-engineering pipeline would not scale to the full 9.5 million-plus transaction dataset in reasonable time; this was mitigated by using PySpark's distributed DataFrame operations instead of single-threaded Pandas loops for the heaviest aggregation steps. A third, schedule-related risk was that dashboard development would be delayed by changes to the underlying data model; this was mitigated by finalising the database schema before frontend work began.</w:t>
      </w:r>
    </w:p>
    <w:p w14:paraId="3E9D6C0C">
      <w:pPr>
        <w:pStyle w:val="19"/>
        <w:pageBreakBefore/>
        <w:numPr>
          <w:ilvl w:val="0"/>
          <w:numId w:val="2"/>
        </w:numPr>
        <w:rPr>
          <w:rFonts w:ascii="Times New Roman" w:hAnsi="Times New Roman" w:cs="Times New Roman"/>
          <w:b/>
          <w:sz w:val="36"/>
          <w:szCs w:val="36"/>
        </w:rPr>
      </w:pPr>
      <w:r>
        <w:rPr>
          <w:rFonts w:ascii="Times New Roman" w:hAnsi="Times New Roman" w:cs="Times New Roman"/>
          <w:b/>
          <w:sz w:val="40"/>
          <w:szCs w:val="40"/>
        </w:rPr>
        <w:t>References</w:t>
      </w:r>
    </w:p>
    <w:p w14:paraId="5F86AB98">
      <w:pPr>
        <w:pStyle w:val="19"/>
        <w:numPr>
          <w:ilvl w:val="0"/>
          <w:numId w:val="6"/>
        </w:numPr>
        <w:spacing w:line="360" w:lineRule="auto"/>
        <w:rPr>
          <w:rFonts w:ascii="Times New Roman" w:hAnsi="Times New Roman" w:cs="Times New Roman"/>
          <w:sz w:val="28"/>
          <w:szCs w:val="28"/>
        </w:rPr>
      </w:pPr>
      <w:r>
        <w:rPr>
          <w:rFonts w:ascii="Times New Roman" w:hAnsi="Times New Roman" w:cs="Times New Roman"/>
          <w:sz w:val="28"/>
          <w:szCs w:val="28"/>
        </w:rPr>
        <w:t>Financial Action Task Force (FATF), International Standards on Combating Money Laundering and the Financing of Terrorism and Proliferation, FATF Recommendations.</w:t>
      </w:r>
    </w:p>
    <w:p w14:paraId="73E9FA3A">
      <w:pPr>
        <w:pStyle w:val="19"/>
        <w:numPr>
          <w:ilvl w:val="0"/>
          <w:numId w:val="6"/>
        </w:numPr>
        <w:spacing w:line="360" w:lineRule="auto"/>
        <w:rPr>
          <w:rFonts w:ascii="Times New Roman" w:hAnsi="Times New Roman" w:cs="Times New Roman"/>
          <w:sz w:val="28"/>
          <w:szCs w:val="28"/>
        </w:rPr>
      </w:pPr>
      <w:r>
        <w:rPr>
          <w:rFonts w:ascii="Times New Roman" w:hAnsi="Times New Roman" w:cs="Times New Roman"/>
          <w:sz w:val="28"/>
          <w:szCs w:val="28"/>
        </w:rPr>
        <w:t>United Nations Office on Drugs and Crime (UNODC), Money Laundering estimates and analysis.</w:t>
      </w:r>
    </w:p>
    <w:p w14:paraId="3D9945C6">
      <w:pPr>
        <w:pStyle w:val="19"/>
        <w:numPr>
          <w:ilvl w:val="0"/>
          <w:numId w:val="6"/>
        </w:numPr>
        <w:spacing w:line="360" w:lineRule="auto"/>
        <w:rPr>
          <w:rFonts w:ascii="Times New Roman" w:hAnsi="Times New Roman" w:cs="Times New Roman"/>
          <w:sz w:val="28"/>
          <w:szCs w:val="28"/>
        </w:rPr>
      </w:pPr>
      <w:r>
        <w:rPr>
          <w:rFonts w:ascii="Times New Roman" w:hAnsi="Times New Roman" w:cs="Times New Roman"/>
          <w:sz w:val="28"/>
          <w:szCs w:val="28"/>
        </w:rPr>
        <w:t>Chen, T. and Guestrin, C., XGBoost: A Scalable Tree Boosting System, Proceedings of the 22nd ACM SIGKDD International Conference on Knowledge Discovery and Data Mining, 2016.</w:t>
      </w:r>
    </w:p>
    <w:p w14:paraId="2B42E559">
      <w:pPr>
        <w:pStyle w:val="19"/>
        <w:numPr>
          <w:ilvl w:val="0"/>
          <w:numId w:val="6"/>
        </w:numPr>
        <w:spacing w:line="360" w:lineRule="auto"/>
        <w:rPr>
          <w:rFonts w:ascii="Times New Roman" w:hAnsi="Times New Roman" w:cs="Times New Roman"/>
          <w:sz w:val="28"/>
          <w:szCs w:val="28"/>
        </w:rPr>
      </w:pPr>
      <w:r>
        <w:rPr>
          <w:rFonts w:ascii="Times New Roman" w:hAnsi="Times New Roman" w:cs="Times New Roman"/>
          <w:sz w:val="28"/>
          <w:szCs w:val="28"/>
        </w:rPr>
        <w:t>Financial Crimes Enforcement Network (FinCEN), Suspicious Activity Report (SAR) filing requirements and guidance.</w:t>
      </w:r>
    </w:p>
    <w:p w14:paraId="5D6E88E4">
      <w:pPr>
        <w:pStyle w:val="19"/>
        <w:numPr>
          <w:ilvl w:val="0"/>
          <w:numId w:val="6"/>
        </w:numPr>
        <w:spacing w:line="360" w:lineRule="auto"/>
        <w:rPr>
          <w:rFonts w:ascii="Times New Roman" w:hAnsi="Times New Roman" w:cs="Times New Roman"/>
          <w:sz w:val="28"/>
          <w:szCs w:val="28"/>
        </w:rPr>
      </w:pPr>
      <w:r>
        <w:rPr>
          <w:rFonts w:ascii="Times New Roman" w:hAnsi="Times New Roman" w:cs="Times New Roman"/>
          <w:sz w:val="28"/>
          <w:szCs w:val="28"/>
        </w:rPr>
        <w:t>SAML-D: A synthetic, multi-typology anti-money-laundering transaction dataset used for benchmarking AML detection systems.</w:t>
      </w:r>
    </w:p>
    <w:p w14:paraId="32FF1292">
      <w:pPr>
        <w:pStyle w:val="19"/>
        <w:numPr>
          <w:ilvl w:val="0"/>
          <w:numId w:val="6"/>
        </w:numPr>
        <w:spacing w:line="360" w:lineRule="auto"/>
        <w:rPr>
          <w:rFonts w:ascii="Times New Roman" w:hAnsi="Times New Roman" w:cs="Times New Roman"/>
          <w:sz w:val="28"/>
          <w:szCs w:val="28"/>
        </w:rPr>
      </w:pPr>
      <w:r>
        <w:rPr>
          <w:rFonts w:ascii="Times New Roman" w:hAnsi="Times New Roman" w:cs="Times New Roman"/>
          <w:sz w:val="28"/>
          <w:szCs w:val="28"/>
        </w:rPr>
        <w:t>Apache Spark documentation, PySpark API reference, The Apache Software Foundation.</w:t>
      </w:r>
    </w:p>
    <w:p w14:paraId="4DC244BD">
      <w:pPr>
        <w:pStyle w:val="19"/>
        <w:numPr>
          <w:ilvl w:val="0"/>
          <w:numId w:val="6"/>
        </w:numPr>
        <w:spacing w:line="360" w:lineRule="auto"/>
        <w:rPr>
          <w:rFonts w:ascii="Times New Roman" w:hAnsi="Times New Roman" w:cs="Times New Roman"/>
          <w:sz w:val="28"/>
          <w:szCs w:val="28"/>
        </w:rPr>
      </w:pPr>
      <w:r>
        <w:rPr>
          <w:rFonts w:ascii="Times New Roman" w:hAnsi="Times New Roman" w:cs="Times New Roman"/>
          <w:sz w:val="28"/>
          <w:szCs w:val="28"/>
        </w:rPr>
        <w:t>FastAPI documentation, Ramirez, S., FastAPI framework, high performance web framework for building APIs with Python.</w:t>
      </w:r>
    </w:p>
    <w:p w14:paraId="5F95A821">
      <w:pPr>
        <w:pStyle w:val="19"/>
        <w:numPr>
          <w:ilvl w:val="0"/>
          <w:numId w:val="6"/>
        </w:numPr>
        <w:spacing w:line="360" w:lineRule="auto"/>
        <w:rPr>
          <w:rFonts w:ascii="Times New Roman" w:hAnsi="Times New Roman" w:cs="Times New Roman"/>
          <w:sz w:val="28"/>
          <w:szCs w:val="28"/>
        </w:rPr>
      </w:pPr>
      <w:r>
        <w:rPr>
          <w:rFonts w:ascii="Times New Roman" w:hAnsi="Times New Roman" w:cs="Times New Roman"/>
          <w:sz w:val="28"/>
          <w:szCs w:val="28"/>
        </w:rPr>
        <w:t>Breiman, L., Random Forests, Machine Learning, Volume 45, 2001.</w:t>
      </w:r>
    </w:p>
    <w:p w14:paraId="55DACDCE">
      <w:pPr>
        <w:pStyle w:val="19"/>
        <w:numPr>
          <w:ilvl w:val="0"/>
          <w:numId w:val="6"/>
        </w:numPr>
        <w:spacing w:line="360" w:lineRule="auto"/>
        <w:rPr>
          <w:rFonts w:ascii="Times New Roman" w:hAnsi="Times New Roman" w:cs="Times New Roman"/>
          <w:sz w:val="28"/>
          <w:szCs w:val="28"/>
        </w:rPr>
      </w:pPr>
      <w:r>
        <w:rPr>
          <w:rFonts w:ascii="Times New Roman" w:hAnsi="Times New Roman" w:cs="Times New Roman"/>
          <w:sz w:val="28"/>
          <w:szCs w:val="28"/>
        </w:rPr>
        <w:t>Chawla, N. V., Bowyer, K. W., Hall, L. O., and Kegelmeyer, W. P., SMOTE: Synthetic Minority Over-sampling Technique, Journal of Artificial Intelligence Research, 2002.</w:t>
      </w:r>
    </w:p>
    <w:p w14:paraId="0AB183AB">
      <w:pPr>
        <w:pStyle w:val="19"/>
        <w:numPr>
          <w:ilvl w:val="0"/>
          <w:numId w:val="6"/>
        </w:numPr>
        <w:spacing w:line="360" w:lineRule="auto"/>
        <w:rPr>
          <w:rFonts w:ascii="Times New Roman" w:hAnsi="Times New Roman" w:cs="Times New Roman"/>
          <w:sz w:val="28"/>
          <w:szCs w:val="28"/>
        </w:rPr>
      </w:pPr>
      <w:r>
        <w:rPr>
          <w:rFonts w:ascii="Times New Roman" w:hAnsi="Times New Roman" w:cs="Times New Roman"/>
          <w:sz w:val="28"/>
          <w:szCs w:val="28"/>
        </w:rPr>
        <w:t>SQLite Documentation, Write-Ahead Logging, SQLite Consortium.</w:t>
      </w:r>
    </w:p>
    <w:p w14:paraId="6EEA010E">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left="9253" w:right="105" w:hanging="8741"/>
        <w:rPr>
          <w:rFonts w:ascii="Times New Roman" w:hAnsi="Times New Roman" w:eastAsia="Times New Roman" w:cs="Times New Roman"/>
          <w:b/>
          <w:color w:val="000000"/>
        </w:rPr>
      </w:pPr>
    </w:p>
    <w:sectPr>
      <w:headerReference r:id="rId5" w:type="default"/>
      <w:footerReference r:id="rId6" w:type="default"/>
      <w:pgSz w:w="12240" w:h="15840"/>
      <w:pgMar w:top="1416" w:right="1381" w:bottom="1059" w:left="143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65767">
    <w:pPr>
      <w:jc w:val="right"/>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A717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7022E7"/>
    <w:multiLevelType w:val="multilevel"/>
    <w:tmpl w:val="027022E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1A415CA"/>
    <w:multiLevelType w:val="multilevel"/>
    <w:tmpl w:val="61A415CA"/>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0"/>
  </w:num>
  <w:num w:numId="2">
    <w:abstractNumId w:val="1"/>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DM1MrC0NDMzNjAzMDRW0lEKTi0uzszPAykwqgUA+b/8sSwAAAA="/>
  </w:docVars>
  <w:rsids>
    <w:rsidRoot w:val="00ED26B1"/>
    <w:rsid w:val="00006228"/>
    <w:rsid w:val="00037725"/>
    <w:rsid w:val="00045E91"/>
    <w:rsid w:val="000B3A52"/>
    <w:rsid w:val="000B57F5"/>
    <w:rsid w:val="002178C8"/>
    <w:rsid w:val="00252AC2"/>
    <w:rsid w:val="002A46F6"/>
    <w:rsid w:val="002C4648"/>
    <w:rsid w:val="003E227E"/>
    <w:rsid w:val="0043349A"/>
    <w:rsid w:val="006675F6"/>
    <w:rsid w:val="0078215F"/>
    <w:rsid w:val="007C1616"/>
    <w:rsid w:val="007D6FFB"/>
    <w:rsid w:val="00857E31"/>
    <w:rsid w:val="008846ED"/>
    <w:rsid w:val="00982BE7"/>
    <w:rsid w:val="00A56703"/>
    <w:rsid w:val="00AD3D5E"/>
    <w:rsid w:val="00AF3E70"/>
    <w:rsid w:val="00AF667E"/>
    <w:rsid w:val="00BE4B47"/>
    <w:rsid w:val="00C060EA"/>
    <w:rsid w:val="00C156E2"/>
    <w:rsid w:val="00D24AA0"/>
    <w:rsid w:val="00E4645A"/>
    <w:rsid w:val="00E54055"/>
    <w:rsid w:val="00E96E32"/>
    <w:rsid w:val="00ED26B1"/>
    <w:rsid w:val="00EF7540"/>
    <w:rsid w:val="00F15406"/>
    <w:rsid w:val="00F34288"/>
    <w:rsid w:val="37381B4F"/>
  </w:rsids>
  <m:mathPr>
    <m:mathFont m:val="Cambria Math"/>
    <m:brkBin m:val="before"/>
    <m:brkBinSub m:val="--"/>
    <m:smallFrac m:val="0"/>
    <m:dispDef/>
    <m:lMargin m:val="0"/>
    <m:rMargin m:val="0"/>
    <m:defJc m:val="centerGroup"/>
    <m:wrapIndent m:val="1440"/>
    <m:intLim m:val="subSup"/>
    <m:naryLim m:val="undOvr"/>
  </m:mathPr>
  <w:themeFontLang w:val="en-IN" w:eastAsia="zh-CN" w:bidi="pa-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pa-IN"/>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keepNext/>
      <w:keepLines/>
      <w:spacing w:before="480" w:after="120"/>
    </w:pPr>
    <w:rPr>
      <w:b/>
      <w:sz w:val="72"/>
      <w:szCs w:val="72"/>
    </w:rPr>
  </w:style>
  <w:style w:type="table" w:customStyle="1" w:styleId="12">
    <w:name w:val="_Style 11"/>
    <w:basedOn w:val="9"/>
    <w:qFormat/>
    <w:uiPriority w:val="0"/>
    <w:tblPr>
      <w:tblCellMar>
        <w:top w:w="100" w:type="dxa"/>
        <w:left w:w="100" w:type="dxa"/>
        <w:bottom w:w="100" w:type="dxa"/>
        <w:right w:w="100" w:type="dxa"/>
      </w:tblCellMar>
    </w:tblPr>
  </w:style>
  <w:style w:type="table" w:customStyle="1" w:styleId="13">
    <w:name w:val="_Style 12"/>
    <w:basedOn w:val="9"/>
    <w:uiPriority w:val="0"/>
    <w:tblPr>
      <w:tblCellMar>
        <w:top w:w="100" w:type="dxa"/>
        <w:left w:w="100" w:type="dxa"/>
        <w:bottom w:w="100" w:type="dxa"/>
        <w:right w:w="100" w:type="dxa"/>
      </w:tblCellMar>
    </w:tblPr>
  </w:style>
  <w:style w:type="table" w:customStyle="1" w:styleId="14">
    <w:name w:val="_Style 13"/>
    <w:basedOn w:val="9"/>
    <w:qFormat/>
    <w:uiPriority w:val="0"/>
    <w:tblPr>
      <w:tblCellMar>
        <w:top w:w="100" w:type="dxa"/>
        <w:left w:w="100" w:type="dxa"/>
        <w:bottom w:w="100" w:type="dxa"/>
        <w:right w:w="100" w:type="dxa"/>
      </w:tblCellMar>
    </w:tblPr>
  </w:style>
  <w:style w:type="table" w:customStyle="1" w:styleId="15">
    <w:name w:val="_Style 14"/>
    <w:basedOn w:val="9"/>
    <w:qFormat/>
    <w:uiPriority w:val="0"/>
    <w:tblPr>
      <w:tblCellMar>
        <w:top w:w="100" w:type="dxa"/>
        <w:left w:w="100" w:type="dxa"/>
        <w:bottom w:w="100" w:type="dxa"/>
        <w:right w:w="100" w:type="dxa"/>
      </w:tblCellMar>
    </w:tblPr>
  </w:style>
  <w:style w:type="table" w:customStyle="1" w:styleId="16">
    <w:name w:val="_Style 15"/>
    <w:basedOn w:val="9"/>
    <w:qFormat/>
    <w:uiPriority w:val="0"/>
    <w:tblPr>
      <w:tblCellMar>
        <w:top w:w="100" w:type="dxa"/>
        <w:left w:w="100" w:type="dxa"/>
        <w:bottom w:w="100" w:type="dxa"/>
        <w:right w:w="100" w:type="dxa"/>
      </w:tblCellMar>
    </w:tblPr>
  </w:style>
  <w:style w:type="table" w:customStyle="1" w:styleId="17">
    <w:name w:val="_Style 16"/>
    <w:basedOn w:val="9"/>
    <w:qFormat/>
    <w:uiPriority w:val="0"/>
    <w:tblPr>
      <w:tblCellMar>
        <w:top w:w="100" w:type="dxa"/>
        <w:left w:w="100" w:type="dxa"/>
        <w:bottom w:w="100" w:type="dxa"/>
        <w:right w:w="100" w:type="dxa"/>
      </w:tblCellMar>
    </w:tblPr>
  </w:style>
  <w:style w:type="table" w:customStyle="1" w:styleId="18">
    <w:name w:val="_Style 17"/>
    <w:basedOn w:val="9"/>
    <w:qFormat/>
    <w:uiPriority w:val="0"/>
    <w:tblPr>
      <w:tblCellMar>
        <w:top w:w="100" w:type="dxa"/>
        <w:left w:w="100" w:type="dxa"/>
        <w:bottom w:w="100" w:type="dxa"/>
        <w:right w:w="100" w:type="dxa"/>
      </w:tblCellMar>
    </w:tblPr>
  </w:style>
  <w:style w:type="paragraph" w:styleId="19">
    <w:name w:val="List Paragraph"/>
    <w:basedOn w:val="1"/>
    <w:qFormat/>
    <w:uiPriority w:val="34"/>
    <w:pPr>
      <w:spacing w:line="240" w:lineRule="auto"/>
      <w:ind w:left="720"/>
      <w:contextualSpacing/>
    </w:pPr>
    <w:rPr>
      <w:rFonts w:ascii="Calibri" w:hAnsi="Calibri" w:eastAsia="Calibri"/>
      <w:sz w:val="20"/>
      <w:szCs w:val="20"/>
      <w:lang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4383</Words>
  <Characters>26425</Characters>
  <Lines>6</Lines>
  <Paragraphs>1</Paragraphs>
  <TotalTime>10</TotalTime>
  <ScaleCrop>false</ScaleCrop>
  <LinksUpToDate>false</LinksUpToDate>
  <CharactersWithSpaces>30808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2024-02-26T09:17:00Z</dcterms:created>
  <dc:creator>Dell</dc:creator>
  <cp:lastModifiedBy>Yug Middha</cp:lastModifiedBy>
  <dcterms:modified xsi:type="dcterms:W3CDTF">2026-09-07T06:19:22Z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eyJoZGlkIjoiNTY0ZDgxNGM1OGQ2NDEyOWZmZTNhMDVlZTg4YjZjMjAifQ==</vt:lpwstr>
  </property>
  <property fmtid="{D5CDD505-2E9C-101B-9397-08002B2CF9AE}" pid="3" name="KSOProductBuildVer">
    <vt:lpwstr>1033-12.1.0.28485</vt:lpwstr>
  </property>
  <property fmtid="{D5CDD505-2E9C-101B-9397-08002B2CF9AE}" pid="4" name="ICV">
    <vt:lpwstr>4D9B4CBE6B2348F492FA2CD320C5902B_12</vt:lpwstr>
  </property>
</Properties>
</file>