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DataSync AI - Monthly SaaS KPI Report</w:t>
      </w:r>
    </w:p>
    <w:p>
      <w:pPr>
        <w:pStyle w:val="Heading2"/>
      </w:pPr>
      <w:r>
        <w:t xml:space="preserve">Period: December 2025</w:t>
      </w:r>
    </w:p>
    <w:p>
      <w:pPr>
        <w:spacing w:after="0" w:line="120" w:lineRule="auto"/>
      </w:pPr>
    </w:p>
    <w:p>
      <w:pPr>
        <w:pStyle w:val="Heading3"/>
      </w:pPr>
      <w:r>
        <w:t xml:space="preserve">Revenue Metrics</w:t>
      </w:r>
    </w:p>
    <w:p>
      <w:pPr>
        <w:pStyle w:val="ListBullet"/>
      </w:pPr>
      <w:r>
        <w:t xml:space="preserve">• </w:t>
      </w:r>
      <w:r>
        <w:t xml:space="preserve">MRR: $350,000</w:t>
      </w:r>
    </w:p>
    <w:p>
      <w:pPr>
        <w:pStyle w:val="ListBullet"/>
      </w:pPr>
      <w:r>
        <w:t xml:space="preserve">• </w:t>
      </w:r>
      <w:r>
        <w:t xml:space="preserve">ARR: $4,200,000</w:t>
      </w:r>
    </w:p>
    <w:p>
      <w:pPr>
        <w:pStyle w:val="ListBullet"/>
      </w:pPr>
      <w:r>
        <w:t xml:space="preserve">• </w:t>
      </w:r>
      <w:r>
        <w:t xml:space="preserve">MRR Growth (MoM): 12%</w:t>
      </w:r>
    </w:p>
    <w:p>
      <w:pPr>
        <w:pStyle w:val="ListBullet"/>
      </w:pPr>
      <w:r>
        <w:t xml:space="preserve">• </w:t>
      </w:r>
      <w:r>
        <w:t xml:space="preserve">ARR Growth (YoY): 280%</w:t>
      </w:r>
    </w:p>
    <w:p>
      <w:pPr>
        <w:pStyle w:val="ListBullet"/>
      </w:pPr>
      <w:r>
        <w:t xml:space="preserve">• </w:t>
      </w:r>
      <w:r>
        <w:t xml:space="preserve">New MRR: $55,000</w:t>
      </w:r>
    </w:p>
    <w:p>
      <w:pPr>
        <w:pStyle w:val="ListBullet"/>
      </w:pPr>
      <w:r>
        <w:t xml:space="preserve">• </w:t>
      </w:r>
      <w:r>
        <w:t xml:space="preserve">Expansion MRR: $18,000</w:t>
      </w:r>
    </w:p>
    <w:p>
      <w:pPr>
        <w:pStyle w:val="ListBullet"/>
      </w:pPr>
      <w:r>
        <w:t xml:space="preserve">• </w:t>
      </w:r>
      <w:r>
        <w:t xml:space="preserve">Churned MRR: $8,000</w:t>
      </w:r>
    </w:p>
    <w:p>
      <w:pPr>
        <w:pStyle w:val="ListBullet"/>
      </w:pPr>
      <w:r>
        <w:t xml:space="preserve">• </w:t>
      </w:r>
      <w:r>
        <w:t xml:space="preserve">Net New MRR: $65,000</w:t>
      </w:r>
    </w:p>
    <w:p>
      <w:pPr>
        <w:spacing w:after="0" w:line="120" w:lineRule="auto"/>
      </w:pPr>
    </w:p>
    <w:p>
      <w:pPr>
        <w:pStyle w:val="Heading3"/>
      </w:pPr>
      <w:r>
        <w:t xml:space="preserve">Customer Metrics</w:t>
      </w:r>
    </w:p>
    <w:p>
      <w:pPr>
        <w:pStyle w:val="ListBullet"/>
      </w:pPr>
      <w:r>
        <w:t xml:space="preserve">• </w:t>
      </w:r>
      <w:r>
        <w:t xml:space="preserve">Total Customers: 68</w:t>
      </w:r>
    </w:p>
    <w:p>
      <w:pPr>
        <w:pStyle w:val="ListBullet"/>
      </w:pPr>
      <w:r>
        <w:t xml:space="preserve">• </w:t>
      </w:r>
      <w:r>
        <w:t xml:space="preserve">New Customers (month): 8</w:t>
      </w:r>
    </w:p>
    <w:p>
      <w:pPr>
        <w:pStyle w:val="ListBullet"/>
      </w:pPr>
      <w:r>
        <w:t xml:space="preserve">• </w:t>
      </w:r>
      <w:r>
        <w:t xml:space="preserve">Churned Customers (month): 1</w:t>
      </w:r>
    </w:p>
    <w:p>
      <w:pPr>
        <w:pStyle w:val="ListBullet"/>
      </w:pPr>
      <w:r>
        <w:t xml:space="preserve">• </w:t>
      </w:r>
      <w:r>
        <w:t xml:space="preserve">Net Revenue Retention (NRR): 135%</w:t>
      </w:r>
    </w:p>
    <w:p>
      <w:pPr>
        <w:pStyle w:val="ListBullet"/>
      </w:pPr>
      <w:r>
        <w:t xml:space="preserve">• </w:t>
      </w:r>
      <w:r>
        <w:t xml:space="preserve">Gross Revenue Retention (GRR): 96%</w:t>
      </w:r>
    </w:p>
    <w:p>
      <w:pPr>
        <w:pStyle w:val="ListBullet"/>
      </w:pPr>
      <w:r>
        <w:t xml:space="preserve">• </w:t>
      </w:r>
      <w:r>
        <w:t xml:space="preserve">Logo Retention Rate: 98.5%</w:t>
      </w:r>
    </w:p>
    <w:p>
      <w:pPr>
        <w:pStyle w:val="ListBullet"/>
      </w:pPr>
      <w:r>
        <w:t xml:space="preserve">• </w:t>
      </w:r>
      <w:r>
        <w:t xml:space="preserve">Average Revenue Per Account (ARPA): $5,147/month ($61,765 ACV)</w:t>
      </w:r>
    </w:p>
    <w:p>
      <w:pPr>
        <w:pStyle w:val="ListBullet"/>
      </w:pPr>
      <w:r>
        <w:t xml:space="preserve">• </w:t>
      </w:r>
      <w:r>
        <w:t xml:space="preserve">Median Contract Value: $48,000</w:t>
      </w:r>
    </w:p>
    <w:p>
      <w:pPr>
        <w:spacing w:after="0" w:line="120" w:lineRule="auto"/>
      </w:pPr>
    </w:p>
    <w:p>
      <w:pPr>
        <w:pStyle w:val="Heading3"/>
      </w:pPr>
      <w:r>
        <w:t xml:space="preserve">Unit Economics</w:t>
      </w:r>
    </w:p>
    <w:p>
      <w:pPr>
        <w:pStyle w:val="ListBullet"/>
      </w:pPr>
      <w:r>
        <w:t xml:space="preserve">• </w:t>
      </w:r>
      <w:r>
        <w:t xml:space="preserve">Customer Acquisition Cost (CAC): $45,000 (blended)</w:t>
      </w:r>
    </w:p>
    <w:p>
      <w:pPr>
        <w:pStyle w:val="ListBullet"/>
      </w:pPr>
      <w:r>
        <w:t xml:space="preserve">• </w:t>
      </w:r>
      <w:r>
        <w:t xml:space="preserve">CAC (sales-assisted): $62,000</w:t>
      </w:r>
    </w:p>
    <w:p>
      <w:pPr>
        <w:pStyle w:val="ListBullet"/>
      </w:pPr>
      <w:r>
        <w:t xml:space="preserve">• </w:t>
      </w:r>
      <w:r>
        <w:t xml:space="preserve">CAC (self-serve): $12,000</w:t>
      </w:r>
    </w:p>
    <w:p>
      <w:pPr>
        <w:pStyle w:val="ListBullet"/>
      </w:pPr>
      <w:r>
        <w:t xml:space="preserve">• </w:t>
      </w:r>
      <w:r>
        <w:t xml:space="preserve">Lifetime Value (LTV): $384,000</w:t>
      </w:r>
    </w:p>
    <w:p>
      <w:pPr>
        <w:pStyle w:val="ListBullet"/>
      </w:pPr>
      <w:r>
        <w:t xml:space="preserve">• </w:t>
      </w:r>
      <w:r>
        <w:t xml:space="preserve">LTV/CAC Ratio: 8.5x</w:t>
      </w:r>
    </w:p>
    <w:p>
      <w:pPr>
        <w:pStyle w:val="ListBullet"/>
      </w:pPr>
      <w:r>
        <w:t xml:space="preserve">• </w:t>
      </w:r>
      <w:r>
        <w:t xml:space="preserve">CAC Payback Period: 8 months</w:t>
      </w:r>
    </w:p>
    <w:p>
      <w:pPr>
        <w:pStyle w:val="ListBullet"/>
      </w:pPr>
      <w:r>
        <w:t xml:space="preserve">• </w:t>
      </w:r>
      <w:r>
        <w:t xml:space="preserve">Gross Margin: 82%</w:t>
      </w:r>
    </w:p>
    <w:p>
      <w:pPr>
        <w:pStyle w:val="ListBullet"/>
      </w:pPr>
      <w:r>
        <w:t xml:space="preserve">• </w:t>
      </w:r>
      <w:r>
        <w:t xml:space="preserve">Contribution Margin: 65%</w:t>
      </w:r>
    </w:p>
    <w:p>
      <w:pPr>
        <w:spacing w:after="0" w:line="120" w:lineRule="auto"/>
      </w:pPr>
    </w:p>
    <w:p>
      <w:pPr>
        <w:pStyle w:val="Heading3"/>
      </w:pPr>
      <w:r>
        <w:t xml:space="preserve">Growth Efficiency</w:t>
      </w:r>
    </w:p>
    <w:p>
      <w:pPr>
        <w:pStyle w:val="ListBullet"/>
      </w:pPr>
      <w:r>
        <w:t xml:space="preserve">• </w:t>
      </w:r>
      <w:r>
        <w:t xml:space="preserve">Magic Number: 1.4</w:t>
      </w:r>
    </w:p>
    <w:p>
      <w:pPr>
        <w:pStyle w:val="ListBullet"/>
      </w:pPr>
      <w:r>
        <w:t xml:space="preserve">• </w:t>
      </w:r>
      <w:r>
        <w:t xml:space="preserve">Burn Multiple: 1.9x</w:t>
      </w:r>
    </w:p>
    <w:p>
      <w:pPr>
        <w:pStyle w:val="ListBullet"/>
      </w:pPr>
      <w:r>
        <w:t xml:space="preserve">• </w:t>
      </w:r>
      <w:r>
        <w:t xml:space="preserve">Rule of 40 Score: 45 (growth 32% + margin 13%)</w:t>
      </w:r>
    </w:p>
    <w:p>
      <w:pPr>
        <w:pStyle w:val="ListBullet"/>
      </w:pPr>
      <w:r>
        <w:t xml:space="preserve">• </w:t>
      </w:r>
      <w:r>
        <w:t xml:space="preserve">Net Burn: $700,000/month</w:t>
      </w:r>
    </w:p>
    <w:p>
      <w:pPr>
        <w:pStyle w:val="ListBullet"/>
      </w:pPr>
      <w:r>
        <w:t xml:space="preserve">• </w:t>
      </w:r>
      <w:r>
        <w:t xml:space="preserve">Runway: 5.4 months (pre-fundraise)</w:t>
      </w:r>
    </w:p>
    <w:p>
      <w:pPr>
        <w:pStyle w:val="ListBullet"/>
      </w:pPr>
      <w:r>
        <w:t xml:space="preserve">• </w:t>
      </w:r>
      <w:r>
        <w:t xml:space="preserve">Cash on Hand: $3,800,000</w:t>
      </w:r>
    </w:p>
    <w:p>
      <w:pPr>
        <w:spacing w:after="0" w:line="120" w:lineRule="auto"/>
      </w:pPr>
    </w:p>
    <w:p>
      <w:pPr>
        <w:pStyle w:val="Heading3"/>
      </w:pPr>
      <w:r>
        <w:t xml:space="preserve">Sales Metrics</w:t>
      </w:r>
    </w:p>
    <w:p>
      <w:pPr>
        <w:pStyle w:val="ListBullet"/>
      </w:pPr>
      <w:r>
        <w:t xml:space="preserve">• </w:t>
      </w:r>
      <w:r>
        <w:t xml:space="preserve">Qualified Pipeline: $18,000,000</w:t>
      </w:r>
    </w:p>
    <w:p>
      <w:pPr>
        <w:pStyle w:val="ListBullet"/>
      </w:pPr>
      <w:r>
        <w:t xml:space="preserve">• </w:t>
      </w:r>
      <w:r>
        <w:t xml:space="preserve">Pipeline Coverage: 4.3x (vs next quarter target)</w:t>
      </w:r>
    </w:p>
    <w:p>
      <w:pPr>
        <w:pStyle w:val="ListBullet"/>
      </w:pPr>
      <w:r>
        <w:t xml:space="preserve">• </w:t>
      </w:r>
      <w:r>
        <w:t xml:space="preserve">Average Sales Cycle: 42 days</w:t>
      </w:r>
    </w:p>
    <w:p>
      <w:pPr>
        <w:pStyle w:val="ListBullet"/>
      </w:pPr>
      <w:r>
        <w:t xml:space="preserve">• </w:t>
      </w:r>
      <w:r>
        <w:t xml:space="preserve">Win Rate: 35%</w:t>
      </w:r>
    </w:p>
    <w:p>
      <w:pPr>
        <w:pStyle w:val="ListBullet"/>
      </w:pPr>
      <w:r>
        <w:t xml:space="preserve">• </w:t>
      </w:r>
      <w:r>
        <w:t xml:space="preserve">Deals Closed (month): 8</w:t>
      </w:r>
    </w:p>
    <w:p>
      <w:pPr>
        <w:pStyle w:val="ListBullet"/>
      </w:pPr>
      <w:r>
        <w:t xml:space="preserve">• </w:t>
      </w:r>
      <w:r>
        <w:t xml:space="preserve">Average Deal Size: $96,000 ACV</w:t>
      </w:r>
    </w:p>
    <w:p>
      <w:pPr>
        <w:spacing w:after="0" w:line="120" w:lineRule="auto"/>
      </w:pPr>
    </w:p>
    <w:p>
      <w:pPr>
        <w:pStyle w:val="Heading3"/>
      </w:pPr>
      <w:r>
        <w:t xml:space="preserve">Product Metrics</w:t>
      </w:r>
    </w:p>
    <w:p>
      <w:pPr>
        <w:pStyle w:val="ListBullet"/>
      </w:pPr>
      <w:r>
        <w:t xml:space="preserve">• </w:t>
      </w:r>
      <w:r>
        <w:t xml:space="preserve">DAU: 2,400</w:t>
      </w:r>
    </w:p>
    <w:p>
      <w:pPr>
        <w:pStyle w:val="ListBullet"/>
      </w:pPr>
      <w:r>
        <w:t xml:space="preserve">• </w:t>
      </w:r>
      <w:r>
        <w:t xml:space="preserve">WAU: 4,100</w:t>
      </w:r>
    </w:p>
    <w:p>
      <w:pPr>
        <w:pStyle w:val="ListBullet"/>
      </w:pPr>
      <w:r>
        <w:t xml:space="preserve">• </w:t>
      </w:r>
      <w:r>
        <w:t xml:space="preserve">MAU: 5,800</w:t>
      </w:r>
    </w:p>
    <w:p>
      <w:pPr>
        <w:pStyle w:val="ListBullet"/>
      </w:pPr>
      <w:r>
        <w:t xml:space="preserve">• </w:t>
      </w:r>
      <w:r>
        <w:t xml:space="preserve">DAU/MAU Ratio: 41%</w:t>
      </w:r>
    </w:p>
    <w:p>
      <w:pPr>
        <w:pStyle w:val="ListBullet"/>
      </w:pPr>
      <w:r>
        <w:t xml:space="preserve">• </w:t>
      </w:r>
      <w:r>
        <w:t xml:space="preserve">Feature Adoption Rate: 72% (core features)</w:t>
      </w:r>
    </w:p>
    <w:p>
      <w:pPr>
        <w:pStyle w:val="ListBullet"/>
      </w:pPr>
      <w:r>
        <w:t xml:space="preserve">• </w:t>
      </w:r>
      <w:r>
        <w:t xml:space="preserve">NPS Score: 62</w:t>
      </w:r>
    </w:p>
    <w:p>
      <w:pPr>
        <w:pStyle w:val="ListBullet"/>
      </w:pPr>
      <w:r>
        <w:t xml:space="preserve">• </w:t>
      </w:r>
      <w:r>
        <w:t xml:space="preserve">Time to Value: 3 days (from sign-up to first pipeline deployed)</w:t>
      </w:r>
    </w:p>
    <w:p>
      <w:pPr>
        <w:spacing w:after="0" w:line="120" w:lineRule="auto"/>
      </w:pPr>
    </w:p>
    <w:p>
      <w:pPr>
        <w:pStyle w:val="Heading3"/>
      </w:pPr>
      <w:r>
        <w:t xml:space="preserve">Headcount</w:t>
      </w:r>
    </w:p>
    <w:p>
      <w:pPr>
        <w:pStyle w:val="ListBullet"/>
      </w:pPr>
      <w:r>
        <w:t xml:space="preserve">• </w:t>
      </w:r>
      <w:r>
        <w:t xml:space="preserve">Total Employees: 32</w:t>
      </w:r>
    </w:p>
    <w:p>
      <w:pPr>
        <w:pStyle w:val="ListBullet"/>
      </w:pPr>
      <w:r>
        <w:t xml:space="preserve">• </w:t>
      </w:r>
      <w:r>
        <w:t xml:space="preserve">Engineering: 18</w:t>
      </w:r>
    </w:p>
    <w:p>
      <w:pPr>
        <w:pStyle w:val="ListBullet"/>
      </w:pPr>
      <w:r>
        <w:t xml:space="preserve">• </w:t>
      </w:r>
      <w:r>
        <w:t xml:space="preserve">Sales: 6</w:t>
      </w:r>
    </w:p>
    <w:p>
      <w:pPr>
        <w:pStyle w:val="ListBullet"/>
      </w:pPr>
      <w:r>
        <w:t xml:space="preserve">• </w:t>
      </w:r>
      <w:r>
        <w:t xml:space="preserve">Product: 4</w:t>
      </w:r>
    </w:p>
    <w:p>
      <w:pPr>
        <w:pStyle w:val="ListBullet"/>
      </w:pPr>
      <w:r>
        <w:t xml:space="preserve">• </w:t>
      </w:r>
      <w:r>
        <w:t xml:space="preserve">Operations/G&amp;A: 4</w:t>
      </w:r>
    </w:p>
    <w:p>
      <w:pPr>
        <w:pStyle w:val="ListBullet"/>
      </w:pPr>
      <w:r>
        <w:t xml:space="preserve">• </w:t>
      </w:r>
      <w:r>
        <w:t xml:space="preserve">Revenue per Employee: $131,250 (annual)</w:t>
      </w:r>
    </w:p>
    <w:p>
      <w:pPr>
        <w:pStyle w:val="ListBullet"/>
      </w:pPr>
      <w:r>
        <w:t xml:space="preserve">• </w:t>
      </w:r>
      <w:r>
        <w:t xml:space="preserve">ARR per Employee: $131,250</w:t>
      </w:r>
    </w:p>
    <w:p>
      <w:pPr>
        <w:spacing w:after="0" w:line="120" w:lineRule="auto"/>
      </w:pPr>
    </w:p>
    <w:p>
      <w:pPr>
        <w:pStyle w:val="Heading3"/>
      </w:pPr>
      <w:r>
        <w:t xml:space="preserve">Expense Breakdown</w:t>
      </w:r>
    </w:p>
    <w:p>
      <w:pPr>
        <w:pStyle w:val="ListBullet"/>
      </w:pPr>
      <w:r>
        <w:t xml:space="preserve">• </w:t>
      </w:r>
      <w:r>
        <w:t xml:space="preserve">COGS: 18% of revenue</w:t>
      </w:r>
    </w:p>
    <w:p>
      <w:pPr>
        <w:pStyle w:val="ListBullet"/>
      </w:pPr>
      <w:r>
        <w:t xml:space="preserve">• </w:t>
      </w:r>
      <w:r>
        <w:t xml:space="preserve">Sales &amp; Marketing: 45% of revenue</w:t>
      </w:r>
    </w:p>
    <w:p>
      <w:pPr>
        <w:pStyle w:val="ListBullet"/>
      </w:pPr>
      <w:r>
        <w:t xml:space="preserve">• </w:t>
      </w:r>
      <w:r>
        <w:t xml:space="preserve">Research &amp; Development: 52% of revenue</w:t>
      </w:r>
    </w:p>
    <w:p>
      <w:pPr>
        <w:pStyle w:val="ListBullet"/>
      </w:pPr>
      <w:r>
        <w:t xml:space="preserve">• </w:t>
      </w:r>
      <w:r>
        <w:t xml:space="preserve">General &amp; Administrative: 18% of revenue</w:t>
      </w:r>
    </w:p>
    <w:p>
      <w:pPr>
        <w:pStyle w:val="ListBullet"/>
      </w:pPr>
      <w:r>
        <w:t xml:space="preserve">• </w:t>
      </w:r>
      <w:r>
        <w:t xml:space="preserve">Total Operating Expenses: $1,050,000/month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