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FarmOS Intelligence — FY2025 Annual KPI Report</w:t>
      </w:r>
    </w:p>
    <w:p>
      <w:pPr>
        <w:pStyle w:val="Heading2"/>
      </w:pPr>
      <w:r>
        <w:t xml:space="preserve">Period: January 1 – December 31, 2025</w:t>
      </w:r>
    </w:p>
    <w:p>
      <w:pPr>
        <w:pStyle w:val="Heading2"/>
      </w:pPr>
      <w:r>
        <w:t xml:space="preserve">Company Type: AgTech (Precision Agriculture IoT + Analytics Platform)</w:t>
      </w:r>
    </w:p>
    <w:p>
      <w:pPr>
        <w:spacing w:after="0" w:line="120" w:lineRule="auto"/>
      </w:pPr>
    </w:p>
    <w:p>
      <w:pPr>
        <w:pStyle w:val="Heading3"/>
      </w:pPr>
      <w:r>
        <w:t xml:space="preserve">Revenue Summary</w:t>
      </w:r>
    </w:p>
    <w:p>
      <w:pPr>
        <w:pStyle w:val="ListBullet"/>
      </w:pPr>
      <w:r>
        <w:t xml:space="preserve">• </w:t>
      </w:r>
      <w:r>
        <w:t xml:space="preserve">Total Annual Revenue: $2,300,000</w:t>
      </w:r>
    </w:p>
    <w:p>
      <w:pPr>
        <w:pStyle w:val="ListBullet"/>
      </w:pPr>
      <w:r>
        <w:t xml:space="preserve">• </w:t>
      </w:r>
      <w:r>
        <w:t xml:space="preserve">YoY Revenue Growth: 72%</w:t>
      </w:r>
    </w:p>
    <w:p>
      <w:pPr>
        <w:pStyle w:val="ListBullet"/>
      </w:pPr>
      <w:r>
        <w:t xml:space="preserve">• </w:t>
      </w:r>
      <w:r>
        <w:t xml:space="preserve">Revenue Breakdown:</w:t>
      </w:r>
    </w:p>
    <w:p>
      <w:pPr>
        <w:pStyle w:val="ListBullet"/>
      </w:pPr>
      <w:r>
        <w:t xml:space="preserve">• </w:t>
      </w:r>
      <w:r>
        <w:t xml:space="preserve">Software Subscription: $1,495,000 (65% of total)</w:t>
      </w:r>
    </w:p>
    <w:p>
      <w:pPr>
        <w:pStyle w:val="ListBullet"/>
      </w:pPr>
      <w:r>
        <w:t xml:space="preserve">• </w:t>
      </w:r>
      <w:r>
        <w:t xml:space="preserve">Hardware (IoT Sensors): $805,000 (35% of total)</w:t>
      </w:r>
    </w:p>
    <w:p>
      <w:pPr>
        <w:spacing w:after="0" w:line="120" w:lineRule="auto"/>
      </w:pPr>
    </w:p>
    <w:p>
      <w:pPr>
        <w:pStyle w:val="Heading3"/>
      </w:pPr>
      <w:r>
        <w:t xml:space="preserve">Seasonal Revenue Distribution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Quarter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Software Rev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Hardware Rev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Total Rev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% of Annual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Q1 (Jan-Mar)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7.8%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Q2 (Apr-Jun)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$340,000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27.0%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Q3 (Jul-Sep)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$530,000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$360,000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$890,000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38.7%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Q4 (Oct-Dec)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$535,000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$610,000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26.5%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Seasonality Note:</w:t>
      </w:r>
      <w:r>
        <w:t xml:space="preserve"> Revenue is driven by the agricultural calendar in North</w:t>
      </w:r>
    </w:p>
    <w:p>
      <w:r>
        <w:t xml:space="preserve">American row crop farming. Q1 is pre-season (minimal activity). Q2 is planting</w:t>
      </w:r>
    </w:p>
    <w:p>
      <w:r>
        <w:t xml:space="preserve">season (sensor deployments + new subscriptions). Q3 is growing season (peak</w:t>
      </w:r>
    </w:p>
    <w:p>
      <w:r>
        <w:t xml:space="preserve">platform usage, in-season upsells, and sensor add-ons for crop scouting).</w:t>
      </w:r>
    </w:p>
    <w:p>
      <w:r>
        <w:t xml:space="preserve">Q4 is harvest/post-harvest (subscription renewals happen, but hardware sales</w:t>
      </w:r>
    </w:p>
    <w:p>
      <w:r>
        <w:t xml:space="preserve">drop as fields are cleared). Hardware revenue is almost zero in Q4 and Q1.</w:t>
      </w:r>
    </w:p>
    <w:p>
      <w:pPr>
        <w:spacing w:after="0" w:line="120" w:lineRule="auto"/>
      </w:pPr>
    </w:p>
    <w:p>
      <w:pPr>
        <w:pStyle w:val="Heading3"/>
      </w:pPr>
      <w:r>
        <w:t xml:space="preserve">Gross Margin Analysis — Blended vs Segment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Segment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Revenue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COGS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Gross Profit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Gross Margin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Software Subscription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$1,495,000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$269,100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$1,225,900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82.0%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Hardware (Sensors)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$805,000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$579,600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$225,400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28.0%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Blended Total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$2,300,000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$848,700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$1,451,300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63.1%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Hardware COGS Breakdown:</w:t>
      </w:r>
    </w:p>
    <w:p>
      <w:pPr>
        <w:pStyle w:val="ListBullet"/>
      </w:pPr>
      <w:r>
        <w:t xml:space="preserve">• </w:t>
      </w:r>
      <w:r>
        <w:t xml:space="preserve">Sensor manufacturing (contract): $402,000</w:t>
      </w:r>
    </w:p>
    <w:p>
      <w:pPr>
        <w:pStyle w:val="ListBullet"/>
      </w:pPr>
      <w:r>
        <w:t xml:space="preserve">• </w:t>
      </w:r>
      <w:r>
        <w:t xml:space="preserve">Cellular connectivity (annual data plans): $96,600</w:t>
      </w:r>
    </w:p>
    <w:p>
      <w:pPr>
        <w:pStyle w:val="ListBullet"/>
      </w:pPr>
      <w:r>
        <w:t xml:space="preserve">• </w:t>
      </w:r>
      <w:r>
        <w:t xml:space="preserve">Shipping &amp; logistics: $48,300</w:t>
      </w:r>
    </w:p>
    <w:p>
      <w:pPr>
        <w:pStyle w:val="ListBullet"/>
      </w:pPr>
      <w:r>
        <w:t xml:space="preserve">• </w:t>
      </w:r>
      <w:r>
        <w:t xml:space="preserve">Warranty/replacements (8% failure rate): $32,700</w:t>
      </w:r>
    </w:p>
    <w:p>
      <w:pPr>
        <w:pStyle w:val="ListBullet"/>
      </w:pPr>
      <w:r>
        <w:t xml:space="preserve">• </w:t>
      </w:r>
      <w:r>
        <w:t xml:space="preserve">Note: Sensor failure rate of 8% is above 5% target — primarily moisture</w:t>
      </w:r>
    </w:p>
    <w:p>
      <w:r>
        <w:t xml:space="preserve">ingress in flood-irrigated fields. New IP68 housing in v3 sensor expected Q2 2026</w:t>
      </w:r>
    </w:p>
    <w:p>
      <w:pPr>
        <w:spacing w:after="0" w:line="120" w:lineRule="auto"/>
      </w:pPr>
    </w:p>
    <w:p>
      <w:pPr>
        <w:pStyle w:val="Heading3"/>
      </w:pPr>
      <w:r>
        <w:t xml:space="preserve">Customer Metrics</w:t>
      </w:r>
    </w:p>
    <w:p>
      <w:pPr>
        <w:pStyle w:val="ListBullet"/>
      </w:pPr>
      <w:r>
        <w:t xml:space="preserve">• </w:t>
      </w:r>
      <w:r>
        <w:t xml:space="preserve">Total Farm Customers: 380</w:t>
      </w:r>
    </w:p>
    <w:p>
      <w:pPr>
        <w:pStyle w:val="ListBullet"/>
      </w:pPr>
      <w:r>
        <w:t xml:space="preserve">• </w:t>
      </w:r>
      <w:r>
        <w:t xml:space="preserve">New Customers (FY2025): 142</w:t>
      </w:r>
    </w:p>
    <w:p>
      <w:pPr>
        <w:pStyle w:val="ListBullet"/>
      </w:pPr>
      <w:r>
        <w:t xml:space="preserve">• </w:t>
      </w:r>
      <w:r>
        <w:t xml:space="preserve">Churned Customers (FY2025): 12</w:t>
      </w:r>
    </w:p>
    <w:p>
      <w:pPr>
        <w:pStyle w:val="ListBullet"/>
      </w:pPr>
      <w:r>
        <w:t xml:space="preserve">• </w:t>
      </w:r>
      <w:r>
        <w:t xml:space="preserve">Annual Retention Rate: 96.8%</w:t>
      </w:r>
    </w:p>
    <w:p>
      <w:pPr>
        <w:pStyle w:val="ListBullet"/>
      </w:pPr>
      <w:r>
        <w:t xml:space="preserve">• </w:t>
      </w:r>
      <w:r>
        <w:t xml:space="preserve">Net Revenue Retention (NRR): 105%</w:t>
      </w:r>
    </w:p>
    <w:p>
      <w:pPr>
        <w:pStyle w:val="ListBullet"/>
      </w:pPr>
      <w:r>
        <w:t xml:space="preserve">• </w:t>
      </w:r>
      <w:r>
        <w:t xml:space="preserve">Average Farm Size (customers): 2,400 acres</w:t>
      </w:r>
    </w:p>
    <w:p>
      <w:pPr>
        <w:pStyle w:val="ListBullet"/>
      </w:pPr>
      <w:r>
        <w:t xml:space="preserve">• </w:t>
      </w:r>
      <w:r>
        <w:t xml:space="preserve">Average Revenue per Customer: $6,053/year</w:t>
      </w:r>
    </w:p>
    <w:p>
      <w:pPr>
        <w:pStyle w:val="ListBullet"/>
      </w:pPr>
      <w:r>
        <w:t xml:space="preserve">• </w:t>
      </w:r>
      <w:r>
        <w:t xml:space="preserve">Average Sensors per Farm: 18</w:t>
      </w:r>
    </w:p>
    <w:p>
      <w:pPr>
        <w:pStyle w:val="ListBullet"/>
      </w:pPr>
      <w:r>
        <w:t xml:space="preserve">• </w:t>
      </w:r>
      <w:r>
        <w:t xml:space="preserve">Total Deployed Sensors: 6,840</w:t>
      </w:r>
    </w:p>
    <w:p>
      <w:pPr>
        <w:spacing w:after="0" w:line="120" w:lineRule="auto"/>
      </w:pPr>
    </w:p>
    <w:p>
      <w:pPr>
        <w:pStyle w:val="Heading3"/>
      </w:pPr>
      <w:r>
        <w:t xml:space="preserve">NRR Detail — Why Only 105%</w:t>
      </w:r>
    </w:p>
    <w:p>
      <w:pPr>
        <w:pStyle w:val="ListBullet"/>
      </w:pPr>
      <w:r>
        <w:t xml:space="preserve">• </w:t>
      </w:r>
      <w:r>
        <w:t xml:space="preserve">Farmers expand slowly — adding sensors to new fields is a physical deployment</w:t>
      </w:r>
    </w:p>
    <w:p>
      <w:pPr>
        <w:pStyle w:val="ListBullet"/>
      </w:pPr>
      <w:r>
        <w:t xml:space="preserve">• </w:t>
      </w:r>
      <w:r>
        <w:t xml:space="preserve">Typical expansion: 2-4 additional sensors per year ($180-$360 hardware + $120-$240 software)</w:t>
      </w:r>
    </w:p>
    <w:p>
      <w:pPr>
        <w:pStyle w:val="ListBullet"/>
      </w:pPr>
      <w:r>
        <w:t xml:space="preserve">• </w:t>
      </w:r>
      <w:r>
        <w:t xml:space="preserve">No usage-based pricing to drive natural expansion</w:t>
      </w:r>
    </w:p>
    <w:p>
      <w:pPr>
        <w:pStyle w:val="ListBullet"/>
      </w:pPr>
      <w:r>
        <w:t xml:space="preserve">• </w:t>
      </w:r>
      <w:r>
        <w:t xml:space="preserve">Considering pivot to per-acre pricing model to improve NRR (target: 115%)</w:t>
      </w:r>
    </w:p>
    <w:p>
      <w:pPr>
        <w:spacing w:after="0" w:line="120" w:lineRule="auto"/>
      </w:pPr>
    </w:p>
    <w:p>
      <w:pPr>
        <w:pStyle w:val="Heading3"/>
      </w:pPr>
      <w:r>
        <w:t xml:space="preserve">Unit Economics</w:t>
      </w:r>
    </w:p>
    <w:p>
      <w:pPr>
        <w:pStyle w:val="ListBullet"/>
      </w:pPr>
      <w:r>
        <w:t xml:space="preserve">• </w:t>
      </w:r>
      <w:r>
        <w:t xml:space="preserve">Customer Acquisition Cost (CAC): $2,800 (blended)</w:t>
      </w:r>
    </w:p>
    <w:p>
      <w:pPr>
        <w:pStyle w:val="ListBullet"/>
      </w:pPr>
      <w:r>
        <w:t xml:space="preserve">• </w:t>
      </w:r>
      <w:r>
        <w:t xml:space="preserve">Field sales (60% of new customers): $3,600 CAC</w:t>
      </w:r>
    </w:p>
    <w:p>
      <w:pPr>
        <w:pStyle w:val="ListBullet"/>
      </w:pPr>
      <w:r>
        <w:t xml:space="preserve">• </w:t>
      </w:r>
      <w:r>
        <w:t xml:space="preserve">Dealer/co-op channel (30%): $1,800 CAC</w:t>
      </w:r>
    </w:p>
    <w:p>
      <w:pPr>
        <w:pStyle w:val="ListBullet"/>
      </w:pPr>
      <w:r>
        <w:t xml:space="preserve">• </w:t>
      </w:r>
      <w:r>
        <w:t xml:space="preserve">Direct/inbound (10%): $900 CAC</w:t>
      </w:r>
    </w:p>
    <w:p>
      <w:pPr>
        <w:pStyle w:val="ListBullet"/>
      </w:pPr>
      <w:r>
        <w:t xml:space="preserve">• </w:t>
      </w:r>
      <w:r>
        <w:t xml:space="preserve">Average Customer Lifetime: 8.2 years (based on 96.8% annual retention)</w:t>
      </w:r>
    </w:p>
    <w:p>
      <w:pPr>
        <w:pStyle w:val="ListBullet"/>
      </w:pPr>
      <w:r>
        <w:t xml:space="preserve">• </w:t>
      </w:r>
      <w:r>
        <w:t xml:space="preserve">Lifetime Value (LTV): $31,400 (8.2 years x $6,053/year x 63.1% blended margin)</w:t>
      </w:r>
    </w:p>
    <w:p>
      <w:pPr>
        <w:pStyle w:val="ListBullet"/>
      </w:pPr>
      <w:r>
        <w:t xml:space="preserve">• </w:t>
      </w:r>
      <w:r>
        <w:t xml:space="preserve">LTV/CAC: 11.2x</w:t>
      </w:r>
    </w:p>
    <w:p>
      <w:pPr>
        <w:pStyle w:val="ListBullet"/>
      </w:pPr>
      <w:r>
        <w:t xml:space="preserve">• </w:t>
      </w:r>
      <w:r>
        <w:t xml:space="preserve">CAC Payback Period: 14 months (on contribution margin)</w:t>
      </w:r>
    </w:p>
    <w:p>
      <w:pPr>
        <w:pStyle w:val="ListBullet"/>
      </w:pPr>
      <w:r>
        <w:t xml:space="preserve">• </w:t>
      </w:r>
      <w:r>
        <w:t xml:space="preserve">Note: Long payback is acceptable given high retention — farmers who adopt rarely leave</w:t>
      </w:r>
    </w:p>
    <w:p>
      <w:pPr>
        <w:spacing w:after="0" w:line="120" w:lineRule="auto"/>
      </w:pPr>
    </w:p>
    <w:p>
      <w:pPr>
        <w:pStyle w:val="Heading3"/>
      </w:pPr>
      <w:r>
        <w:t xml:space="preserve">Quarterly Operating Metrics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Q1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Q2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Q3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Q4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$890K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$610K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58%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62%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72%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Operating Expense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$320K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$380K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$410K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$350K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Operating Income/(Loss)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$(192K)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$(18K)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$142K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$69K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Headcount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26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Note:</w:t>
      </w:r>
      <w:r>
        <w:t xml:space="preserve"> Company only operates cash-flow positive in Q3-Q4. Q1 is deeply</w:t>
      </w:r>
    </w:p>
    <w:p>
      <w:r>
        <w:t xml:space="preserve">negative. Seasonal hiring of 4-6 field deployment technicians in Q2-Q3.</w:t>
      </w:r>
    </w:p>
    <w:p>
      <w:pPr>
        <w:spacing w:after="0" w:line="120" w:lineRule="auto"/>
      </w:pPr>
    </w:p>
    <w:p>
      <w:pPr>
        <w:pStyle w:val="Heading3"/>
      </w:pPr>
      <w:r>
        <w:t xml:space="preserve">Cash &amp; Runway</w:t>
      </w:r>
    </w:p>
    <w:p>
      <w:pPr>
        <w:pStyle w:val="ListBullet"/>
      </w:pPr>
      <w:r>
        <w:t xml:space="preserve">• </w:t>
      </w:r>
      <w:r>
        <w:t xml:space="preserve">Cash on Hand (Dec 31): $1,850,000</w:t>
      </w:r>
    </w:p>
    <w:p>
      <w:pPr>
        <w:pStyle w:val="ListBullet"/>
      </w:pPr>
      <w:r>
        <w:t xml:space="preserve">• </w:t>
      </w:r>
      <w:r>
        <w:t xml:space="preserve">Average Monthly Burn (annualized): $82,000 (net of revenue)</w:t>
      </w:r>
    </w:p>
    <w:p>
      <w:pPr>
        <w:pStyle w:val="ListBullet"/>
      </w:pPr>
      <w:r>
        <w:t xml:space="preserve">• </w:t>
      </w:r>
      <w:r>
        <w:t xml:space="preserve">Q1 Projected Monthly Burn: $140,000 (seasonal trough)</w:t>
      </w:r>
    </w:p>
    <w:p>
      <w:pPr>
        <w:pStyle w:val="ListBullet"/>
      </w:pPr>
      <w:r>
        <w:t xml:space="preserve">• </w:t>
      </w:r>
      <w:r>
        <w:t xml:space="preserve">Full-Year Operating Loss: $(989,000)</w:t>
      </w:r>
    </w:p>
    <w:p>
      <w:pPr>
        <w:pStyle w:val="ListBullet"/>
      </w:pPr>
      <w:r>
        <w:t xml:space="preserve">• </w:t>
      </w:r>
      <w:r>
        <w:t xml:space="preserve">Raised: $4.5M Seed (March 2024)</w:t>
      </w:r>
    </w:p>
    <w:p>
      <w:pPr>
        <w:pStyle w:val="ListBullet"/>
      </w:pPr>
      <w:r>
        <w:t xml:space="preserve">• </w:t>
      </w:r>
      <w:r>
        <w:t xml:space="preserve">Runway: ~14 months at average burn, ~9 months at Q1 burn rate</w:t>
      </w:r>
    </w:p>
    <w:p>
      <w:pPr>
        <w:pStyle w:val="ListBullet"/>
      </w:pPr>
      <w:r>
        <w:t xml:space="preserve">• </w:t>
      </w:r>
      <w:r>
        <w:t xml:space="preserve">Break-even target: FY2027 (at $4.2M revenue)</w:t>
      </w:r>
    </w:p>
    <w:p>
      <w:pPr>
        <w:spacing w:after="0" w:line="120" w:lineRule="auto"/>
      </w:pPr>
    </w:p>
    <w:p>
      <w:pPr>
        <w:pStyle w:val="Heading3"/>
      </w:pPr>
      <w:r>
        <w:t xml:space="preserve">Headcount (Year-End)</w:t>
      </w:r>
    </w:p>
    <w:p>
      <w:pPr>
        <w:pStyle w:val="ListBullet"/>
      </w:pPr>
      <w:r>
        <w:t xml:space="preserve">• </w:t>
      </w:r>
      <w:r>
        <w:t xml:space="preserve">Total (Dec 31): 26</w:t>
      </w:r>
    </w:p>
    <w:p>
      <w:pPr>
        <w:pStyle w:val="ListBullet"/>
      </w:pPr>
      <w:r>
        <w:t xml:space="preserve">• </w:t>
      </w:r>
      <w:r>
        <w:t xml:space="preserve">Engineering (firmware + platform): 10</w:t>
      </w:r>
    </w:p>
    <w:p>
      <w:pPr>
        <w:pStyle w:val="ListBullet"/>
      </w:pPr>
      <w:r>
        <w:t xml:space="preserve">• </w:t>
      </w:r>
      <w:r>
        <w:t xml:space="preserve">Field Operations/Deployment: 4 (plus 4-6 seasonal)</w:t>
      </w:r>
    </w:p>
    <w:p>
      <w:pPr>
        <w:pStyle w:val="ListBullet"/>
      </w:pPr>
      <w:r>
        <w:t xml:space="preserve">• </w:t>
      </w:r>
      <w:r>
        <w:t xml:space="preserve">Sales &amp; Partnerships: 5</w:t>
      </w:r>
    </w:p>
    <w:p>
      <w:pPr>
        <w:pStyle w:val="ListBullet"/>
      </w:pPr>
      <w:r>
        <w:t xml:space="preserve">• </w:t>
      </w:r>
      <w:r>
        <w:t xml:space="preserve">Agronomy/Customer Success: 4</w:t>
      </w:r>
    </w:p>
    <w:p>
      <w:pPr>
        <w:pStyle w:val="ListBullet"/>
      </w:pPr>
      <w:r>
        <w:t xml:space="preserve">• </w:t>
      </w:r>
      <w:r>
        <w:t xml:space="preserve">G&amp;A: 3</w:t>
      </w:r>
    </w:p>
    <w:p>
      <w:pPr>
        <w:pStyle w:val="ListBullet"/>
      </w:pPr>
      <w:r>
        <w:t xml:space="preserve">• </w:t>
      </w:r>
      <w:r>
        <w:t xml:space="preserve">Revenue per Employee: $88,462</w:t>
      </w:r>
    </w:p>
    <w:p>
      <w:pPr>
        <w:spacing w:after="0" w:line="120" w:lineRule="auto"/>
      </w:pPr>
    </w:p>
    <w:p>
      <w:pPr>
        <w:pStyle w:val="Heading3"/>
      </w:pPr>
      <w:r>
        <w:t xml:space="preserve">Product Metrics</w:t>
      </w:r>
    </w:p>
    <w:p>
      <w:pPr>
        <w:pStyle w:val="ListBullet"/>
      </w:pPr>
      <w:r>
        <w:t xml:space="preserve">• </w:t>
      </w:r>
      <w:r>
        <w:t xml:space="preserve">Platform Uptime: 99.7%</w:t>
      </w:r>
    </w:p>
    <w:p>
      <w:pPr>
        <w:pStyle w:val="ListBullet"/>
      </w:pPr>
      <w:r>
        <w:t xml:space="preserve">• </w:t>
      </w:r>
      <w:r>
        <w:t xml:space="preserve">Average Data Points per Sensor per Day: 288 (every 5 minutes)</w:t>
      </w:r>
    </w:p>
    <w:p>
      <w:pPr>
        <w:pStyle w:val="ListBullet"/>
      </w:pPr>
      <w:r>
        <w:t xml:space="preserve">• </w:t>
      </w:r>
      <w:r>
        <w:t xml:space="preserve">Total Data Points Stored: 1.2 billion</w:t>
      </w:r>
    </w:p>
    <w:p>
      <w:pPr>
        <w:pStyle w:val="ListBullet"/>
      </w:pPr>
      <w:r>
        <w:t xml:space="preserve">• </w:t>
      </w:r>
      <w:r>
        <w:t xml:space="preserve">AI Yield Prediction Accuracy: 91% (within 5% of actual yield)</w:t>
      </w:r>
    </w:p>
    <w:p>
      <w:pPr>
        <w:pStyle w:val="ListBullet"/>
      </w:pPr>
      <w:r>
        <w:t xml:space="preserve">• </w:t>
      </w:r>
      <w:r>
        <w:t xml:space="preserve">Irrigation Recommendation Adoption Rate: 74% (farmers follow 74% of suggestions)</w:t>
      </w:r>
    </w:p>
    <w:p>
      <w:pPr>
        <w:pStyle w:val="ListBullet"/>
      </w:pPr>
      <w:r>
        <w:t xml:space="preserve">• </w:t>
      </w:r>
      <w:r>
        <w:t xml:space="preserve">Estimated Water Savings per Customer: 18% reduction in irrigation usage</w:t>
      </w:r>
    </w:p>
    <w:p>
      <w:pPr>
        <w:pStyle w:val="ListBullet"/>
      </w:pPr>
      <w:r>
        <w:t xml:space="preserve">• </w:t>
      </w:r>
      <w:r>
        <w:t xml:space="preserve">Estimated Yield Improvement: 7-12% (self-reported by customers)</w:t>
      </w:r>
    </w:p>
    <w:p>
      <w:pPr>
        <w:spacing w:after="0" w:line="120" w:lineRule="auto"/>
      </w:pPr>
    </w:p>
    <w:p>
      <w:pPr>
        <w:pStyle w:val="Heading3"/>
      </w:pPr>
      <w:r>
        <w:t xml:space="preserve">Crop Coverage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Crop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% of Customer Acreage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Avg Revenue/Acre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Corn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42%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$2.20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Soybeans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28%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$2.10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Wheat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15%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$1.80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Cotton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10%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$2.60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Other (specialty)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5%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$3.40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Key Risks</w:t>
      </w:r>
    </w:p>
    <w:p>
      <w:pPr>
        <w:pStyle w:val="ListBullet"/>
      </w:pPr>
      <w:r>
        <w:t xml:space="preserve">1. </w:t>
      </w:r>
      <w:r>
        <w:t xml:space="preserve">Extreme seasonality creates Q1 cash crunch every year — may need credit facility</w:t>
      </w:r>
    </w:p>
    <w:p>
      <w:pPr>
        <w:pStyle w:val="ListBullet"/>
      </w:pPr>
      <w:r>
        <w:t xml:space="preserve">2. </w:t>
      </w:r>
      <w:r>
        <w:t xml:space="preserve">Hardware margin at 28% drags blended margin below SaaS benchmarks</w:t>
      </w:r>
    </w:p>
    <w:p>
      <w:pPr>
        <w:pStyle w:val="ListBullet"/>
      </w:pPr>
      <w:r>
        <w:t xml:space="preserve">3. </w:t>
      </w:r>
      <w:r>
        <w:t xml:space="preserve">NRR of 105% limits organic growth — per-acre pricing could help but risks churn</w:t>
      </w:r>
    </w:p>
    <w:p>
      <w:pPr>
        <w:pStyle w:val="ListBullet"/>
      </w:pPr>
      <w:r>
        <w:t xml:space="preserve">4. </w:t>
      </w:r>
      <w:r>
        <w:t xml:space="preserve">Field sales model is expensive ($3,600 CAC) — need to scale dealer channel</w:t>
      </w:r>
    </w:p>
    <w:p>
      <w:pPr>
        <w:pStyle w:val="ListBullet"/>
      </w:pPr>
      <w:r>
        <w:t xml:space="preserve">5. </w:t>
      </w:r>
      <w:r>
        <w:t xml:space="preserve">Sensor failure rate of 8% drives warranty costs and customer frustration</w:t>
      </w:r>
    </w:p>
    <w:p>
      <w:pPr>
        <w:pStyle w:val="ListBullet"/>
      </w:pPr>
      <w:r>
        <w:t xml:space="preserve">6. </w:t>
      </w:r>
      <w:r>
        <w:t xml:space="preserve">Climate volatility (drought, flooding) can delay deployments and reduce farmer budgets</w:t>
      </w:r>
    </w:p>
    <w:p>
      <w:pPr>
        <w:pStyle w:val="ListBullet"/>
      </w:pPr>
      <w:r>
        <w:t xml:space="preserve">7. </w:t>
      </w:r>
      <w:r>
        <w:t xml:space="preserve">Competitor risk: John Deere and CNH Industrial building integrated solutions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