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GreenGrid Exchange — FY2025 Annual Financial Report</w:t>
      </w:r>
    </w:p>
    <w:p>
      <w:pPr>
        <w:pStyle w:val="Heading2"/>
      </w:pPr>
      <w:r>
        <w:t xml:space="preserve">Period: January 1 – December 31, 2025</w:t>
      </w:r>
    </w:p>
    <w:p>
      <w:pPr>
        <w:pStyle w:val="Heading2"/>
      </w:pPr>
      <w:r>
        <w:t xml:space="preserve">Company Type: Climate Tech (Carbon Credit Marketplace)</w:t>
      </w:r>
    </w:p>
    <w:p>
      <w:pPr>
        <w:spacing w:after="0" w:line="120" w:lineRule="auto"/>
      </w:pPr>
    </w:p>
    <w:p>
      <w:pPr>
        <w:pStyle w:val="Heading3"/>
      </w:pPr>
      <w:r>
        <w:t xml:space="preserve">Revenue Summary</w:t>
      </w:r>
    </w:p>
    <w:p>
      <w:pPr>
        <w:pStyle w:val="ListBullet"/>
      </w:pPr>
      <w:r>
        <w:t xml:space="preserve">• </w:t>
      </w:r>
      <w:r>
        <w:t xml:space="preserve">Gross Merchandise Volume (GMV): $6,200,000</w:t>
      </w:r>
    </w:p>
    <w:p>
      <w:pPr>
        <w:pStyle w:val="ListBullet"/>
      </w:pPr>
      <w:r>
        <w:t xml:space="preserve">• </w:t>
      </w:r>
      <w:r>
        <w:t xml:space="preserve">Net Revenue (marketplace take): $1,800,000</w:t>
      </w:r>
    </w:p>
    <w:p>
      <w:pPr>
        <w:pStyle w:val="ListBullet"/>
      </w:pPr>
      <w:r>
        <w:t xml:space="preserve">• </w:t>
      </w:r>
      <w:r>
        <w:t xml:space="preserve">Blended Take Rate: 29.0%</w:t>
      </w:r>
    </w:p>
    <w:p>
      <w:pPr>
        <w:pStyle w:val="ListBullet"/>
      </w:pPr>
      <w:r>
        <w:t xml:space="preserve">• </w:t>
      </w:r>
      <w:r>
        <w:t xml:space="preserve">Take Rate Decline: from 32.1% (FY2024) to 29.0% (FY2025)</w:t>
      </w:r>
    </w:p>
    <w:p>
      <w:pPr>
        <w:pStyle w:val="ListBullet"/>
      </w:pPr>
      <w:r>
        <w:t xml:space="preserve">• </w:t>
      </w:r>
      <w:r>
        <w:t xml:space="preserve">YoY GMV Growth: 88%</w:t>
      </w:r>
    </w:p>
    <w:p>
      <w:pPr>
        <w:pStyle w:val="ListBullet"/>
      </w:pPr>
      <w:r>
        <w:t xml:space="preserve">• </w:t>
      </w:r>
      <w:r>
        <w:t xml:space="preserve">YoY Net Revenue Growth: 64%</w:t>
      </w:r>
    </w:p>
    <w:p>
      <w:pPr>
        <w:spacing w:after="0" w:line="120" w:lineRule="auto"/>
      </w:pPr>
    </w:p>
    <w:p>
      <w:pPr>
        <w:pStyle w:val="Heading3"/>
      </w:pPr>
      <w:r>
        <w:t xml:space="preserve">Take Rate Erosion — Key Trend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225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Customer Tier</w:t>
            </w:r>
          </w:p>
        </w:tc>
        <w:tc>
          <w:tcPr>
            <w:tcW w:w="225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GMV</w:t>
            </w:r>
          </w:p>
        </w:tc>
        <w:tc>
          <w:tcPr>
            <w:tcW w:w="225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Take Rate</w:t>
            </w:r>
          </w:p>
        </w:tc>
        <w:tc>
          <w:tcPr>
            <w:tcW w:w="225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Net Revenue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Enterprise (&gt;$500K GMV)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$2,480,000 (40%)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24.2%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$600,160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Mid-Market ($100K-$500K)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$2,170,000 (35%)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29.5%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$640,150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SMB (&lt;$100K)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$1,550,000 (25%)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36.1%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$559,550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Total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$6,200,000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29.0%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$1,799,860</w:t>
            </w:r>
          </w:p>
        </w:tc>
      </w:tr>
    </w:tbl>
    <w:p>
      <w:pPr>
        <w:spacing w:after="0" w:line="120" w:lineRule="auto"/>
      </w:pPr>
    </w:p>
    <w:p>
      <w:r>
        <w:t xml:space="preserve">Enterprise clients grew from 28% to 40% of GMV in FY2025, pulling blended take</w:t>
      </w:r>
    </w:p>
    <w:p>
      <w:r>
        <w:t xml:space="preserve">rate down. Three enterprise clients negotiated volume discounts below 25%. If</w:t>
      </w:r>
    </w:p>
    <w:p>
      <w:r>
        <w:t xml:space="preserve">enterprise mix reaches 50% (projected FY2026), blended take rate could drop to 27%.</w:t>
      </w:r>
    </w:p>
    <w:p>
      <w:pPr>
        <w:spacing w:after="0" w:line="120" w:lineRule="auto"/>
      </w:pPr>
    </w:p>
    <w:p>
      <w:pPr>
        <w:pStyle w:val="Heading3"/>
      </w:pPr>
      <w:r>
        <w:t xml:space="preserve">Seasonal GMV Distribution — Extreme Q4 Concentration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225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Quarter</w:t>
            </w:r>
          </w:p>
        </w:tc>
        <w:tc>
          <w:tcPr>
            <w:tcW w:w="225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GMV</w:t>
            </w:r>
          </w:p>
        </w:tc>
        <w:tc>
          <w:tcPr>
            <w:tcW w:w="225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% of Annual</w:t>
            </w:r>
          </w:p>
        </w:tc>
        <w:tc>
          <w:tcPr>
            <w:tcW w:w="225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Net Revenue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Q1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$465,000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7.5%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$139,500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Q2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$992,000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16.0%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$287,680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Q3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$955,000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15.4%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$277,950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Q4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$3,788,000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61.1%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$1,094,730</w:t>
            </w:r>
          </w:p>
        </w:tc>
      </w:tr>
    </w:tbl>
    <w:p>
      <w:pPr>
        <w:spacing w:after="0" w:line="120" w:lineRule="auto"/>
      </w:pPr>
    </w:p>
    <w:p>
      <w:r>
        <w:rPr>
          <w:b/>
        </w:rPr>
        <w:t xml:space="preserve">Q4 Concentration Note:</w:t>
      </w:r>
      <w:r>
        <w:t xml:space="preserve"> Q4 represented 61% of annual GMV (target was 45%).</w:t>
      </w:r>
    </w:p>
    <w:p>
      <w:r>
        <w:t xml:space="preserve">Corporate ESG reporting deadlines and fiscal year-end budget flush drive massive</w:t>
      </w:r>
    </w:p>
    <w:p>
      <w:r>
        <w:t xml:space="preserve">Q4 demand. This creates operational challenges — verification capacity maxes out</w:t>
      </w:r>
    </w:p>
    <w:p>
      <w:r>
        <w:t xml:space="preserve">in Nov/Dec, causing 3-5 day delays vs &lt;24 hours in Q1-Q3.</w:t>
      </w:r>
    </w:p>
    <w:p>
      <w:pPr>
        <w:spacing w:after="0" w:line="120" w:lineRule="auto"/>
      </w:pPr>
    </w:p>
    <w:p>
      <w:pPr>
        <w:pStyle w:val="Heading3"/>
      </w:pPr>
      <w:r>
        <w:t xml:space="preserve">Cost of Revenue — Verification Costs</w:t>
      </w:r>
    </w:p>
    <w:p>
      <w:pPr>
        <w:pStyle w:val="ListBullet"/>
      </w:pPr>
      <w:r>
        <w:t xml:space="preserve">• </w:t>
      </w:r>
      <w:r>
        <w:t xml:space="preserve">Total COGS: $1,116,000</w:t>
      </w:r>
    </w:p>
    <w:p>
      <w:pPr>
        <w:pStyle w:val="ListBullet"/>
      </w:pPr>
      <w:r>
        <w:t xml:space="preserve">• </w:t>
      </w:r>
      <w:r>
        <w:t xml:space="preserve">Verification Costs: $1,116,000 (18.0% of GMV, 62.0% of net revenue)</w:t>
      </w:r>
    </w:p>
    <w:p>
      <w:pPr>
        <w:pStyle w:val="ListBullet"/>
      </w:pPr>
      <w:r>
        <w:t xml:space="preserve">• </w:t>
      </w:r>
      <w:r>
        <w:t xml:space="preserve">Third-party verifiers (Verra, Gold Standard audits): $682,000</w:t>
      </w:r>
    </w:p>
    <w:p>
      <w:pPr>
        <w:pStyle w:val="ListBullet"/>
      </w:pPr>
      <w:r>
        <w:t xml:space="preserve">• </w:t>
      </w:r>
      <w:r>
        <w:t xml:space="preserve">Internal quality assurance team: $248,000</w:t>
      </w:r>
    </w:p>
    <w:p>
      <w:pPr>
        <w:pStyle w:val="ListBullet"/>
      </w:pPr>
      <w:r>
        <w:t xml:space="preserve">• </w:t>
      </w:r>
      <w:r>
        <w:t xml:space="preserve">Satellite/remote sensing for nature-based credits: $186,000</w:t>
      </w:r>
    </w:p>
    <w:p>
      <w:pPr>
        <w:pStyle w:val="ListBullet"/>
      </w:pPr>
      <w:r>
        <w:t xml:space="preserve">• </w:t>
      </w:r>
      <w:r>
        <w:t xml:space="preserve">Gross Profit: $684,000</w:t>
      </w:r>
    </w:p>
    <w:p>
      <w:pPr>
        <w:pStyle w:val="ListBullet"/>
      </w:pPr>
      <w:r>
        <w:t xml:space="preserve">• </w:t>
      </w:r>
      <w:r>
        <w:t xml:space="preserve">Gross Margin (on net revenue): 38.0%</w:t>
      </w:r>
    </w:p>
    <w:p>
      <w:pPr>
        <w:pStyle w:val="ListBullet"/>
      </w:pPr>
      <w:r>
        <w:t xml:space="preserve">• </w:t>
      </w:r>
      <w:r>
        <w:t xml:space="preserve">Note: Verification costs are largely variable with GMV, not revenue. This means</w:t>
      </w:r>
    </w:p>
    <w:p>
      <w:r>
        <w:t xml:space="preserve">gross margin compresses as take rate declines</w:t>
      </w:r>
    </w:p>
    <w:p>
      <w:pPr>
        <w:spacing w:after="0" w:line="120" w:lineRule="auto"/>
      </w:pPr>
    </w:p>
    <w:p>
      <w:pPr>
        <w:pStyle w:val="Heading3"/>
      </w:pPr>
      <w:r>
        <w:t xml:space="preserve">Operating Expenses</w:t>
      </w:r>
    </w:p>
    <w:p>
      <w:pPr>
        <w:pStyle w:val="ListBullet"/>
      </w:pPr>
      <w:r>
        <w:t xml:space="preserve">• </w:t>
      </w:r>
      <w:r>
        <w:t xml:space="preserve">Sales &amp; Marketing: $620,000 (34.4% of net revenue)</w:t>
      </w:r>
    </w:p>
    <w:p>
      <w:pPr>
        <w:pStyle w:val="ListBullet"/>
      </w:pPr>
      <w:r>
        <w:t xml:space="preserve">• </w:t>
      </w:r>
      <w:r>
        <w:t xml:space="preserve">R&amp;D (platform, matching engine, API): $480,000 (26.7% of net revenue)</w:t>
      </w:r>
    </w:p>
    <w:p>
      <w:pPr>
        <w:pStyle w:val="ListBullet"/>
      </w:pPr>
      <w:r>
        <w:t xml:space="preserve">• </w:t>
      </w:r>
      <w:r>
        <w:t xml:space="preserve">G&amp;A: $340,000 (18.9% of net revenue)</w:t>
      </w:r>
    </w:p>
    <w:p>
      <w:pPr>
        <w:pStyle w:val="ListBullet"/>
      </w:pPr>
      <w:r>
        <w:t xml:space="preserve">• </w:t>
      </w:r>
      <w:r>
        <w:t xml:space="preserve">Total OpEx: $1,440,000</w:t>
      </w:r>
    </w:p>
    <w:p>
      <w:pPr>
        <w:pStyle w:val="ListBullet"/>
      </w:pPr>
      <w:r>
        <w:t xml:space="preserve">• </w:t>
      </w:r>
      <w:r>
        <w:t xml:space="preserve">Operating Loss: $(756,000)</w:t>
      </w:r>
    </w:p>
    <w:p>
      <w:pPr>
        <w:pStyle w:val="ListBullet"/>
      </w:pPr>
      <w:r>
        <w:t xml:space="preserve">• </w:t>
      </w:r>
      <w:r>
        <w:t xml:space="preserve">Operating Margin: -42.0%</w:t>
      </w:r>
    </w:p>
    <w:p>
      <w:pPr>
        <w:spacing w:after="0" w:line="120" w:lineRule="auto"/>
      </w:pPr>
    </w:p>
    <w:p>
      <w:pPr>
        <w:pStyle w:val="Heading3"/>
      </w:pPr>
      <w:r>
        <w:t xml:space="preserve">Credit Type Breakdown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225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Credit Type</w:t>
            </w:r>
          </w:p>
        </w:tc>
        <w:tc>
          <w:tcPr>
            <w:tcW w:w="225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GMV</w:t>
            </w:r>
          </w:p>
        </w:tc>
        <w:tc>
          <w:tcPr>
            <w:tcW w:w="225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Avg Price/ton</w:t>
            </w:r>
          </w:p>
        </w:tc>
        <w:tc>
          <w:tcPr>
            <w:tcW w:w="225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Volume (tons)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Nature-Based Removal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$2,356,000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$38.20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61,675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Tech-Based Removal (DAC)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$1,488,000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$248.00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6,000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Avoidance (REDD+)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$1,364,000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$12.40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110,000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Renewable Energy Certs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$992,000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$4.80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206,667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Total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$6,200,000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384,342</w:t>
            </w:r>
          </w:p>
        </w:tc>
      </w:tr>
    </w:tbl>
    <w:p>
      <w:pPr>
        <w:spacing w:after="0" w:line="120" w:lineRule="auto"/>
      </w:pPr>
    </w:p>
    <w:p>
      <w:pPr>
        <w:pStyle w:val="Heading3"/>
      </w:pPr>
      <w:r>
        <w:t xml:space="preserve">Customer Metrics</w:t>
      </w:r>
    </w:p>
    <w:p>
      <w:pPr>
        <w:pStyle w:val="ListBullet"/>
      </w:pPr>
      <w:r>
        <w:t xml:space="preserve">• </w:t>
      </w:r>
      <w:r>
        <w:t xml:space="preserve">Total Buyers: 142 (up from 89 in FY2024)</w:t>
      </w:r>
    </w:p>
    <w:p>
      <w:pPr>
        <w:pStyle w:val="ListBullet"/>
      </w:pPr>
      <w:r>
        <w:t xml:space="preserve">• </w:t>
      </w:r>
      <w:r>
        <w:t xml:space="preserve">Total Sellers/Project Developers: 67</w:t>
      </w:r>
    </w:p>
    <w:p>
      <w:pPr>
        <w:pStyle w:val="ListBullet"/>
      </w:pPr>
      <w:r>
        <w:t xml:space="preserve">• </w:t>
      </w:r>
      <w:r>
        <w:t xml:space="preserve">Repeat Buyer Rate: 71%</w:t>
      </w:r>
    </w:p>
    <w:p>
      <w:pPr>
        <w:pStyle w:val="ListBullet"/>
      </w:pPr>
      <w:r>
        <w:t xml:space="preserve">• </w:t>
      </w:r>
      <w:r>
        <w:t xml:space="preserve">Average GMV per Buyer: $43,662</w:t>
      </w:r>
    </w:p>
    <w:p>
      <w:pPr>
        <w:pStyle w:val="ListBullet"/>
      </w:pPr>
      <w:r>
        <w:t xml:space="preserve">• </w:t>
      </w:r>
      <w:r>
        <w:t xml:space="preserve">Top 10 Buyers: 52% of GMV (high concentration)</w:t>
      </w:r>
    </w:p>
    <w:p>
      <w:pPr>
        <w:spacing w:after="0" w:line="120" w:lineRule="auto"/>
      </w:pPr>
    </w:p>
    <w:p>
      <w:pPr>
        <w:pStyle w:val="Heading3"/>
      </w:pPr>
      <w:r>
        <w:t xml:space="preserve">Cash Position</w:t>
      </w:r>
    </w:p>
    <w:p>
      <w:pPr>
        <w:pStyle w:val="ListBullet"/>
      </w:pPr>
      <w:r>
        <w:t xml:space="preserve">• </w:t>
      </w:r>
      <w:r>
        <w:t xml:space="preserve">Cash on Hand: $1,420,000</w:t>
      </w:r>
    </w:p>
    <w:p>
      <w:pPr>
        <w:pStyle w:val="ListBullet"/>
      </w:pPr>
      <w:r>
        <w:t xml:space="preserve">• </w:t>
      </w:r>
      <w:r>
        <w:t xml:space="preserve">Monthly Burn: $92,000 (averaged; much higher in Q1 when revenue is minimal)</w:t>
      </w:r>
    </w:p>
    <w:p>
      <w:pPr>
        <w:pStyle w:val="ListBullet"/>
      </w:pPr>
      <w:r>
        <w:t xml:space="preserve">• </w:t>
      </w:r>
      <w:r>
        <w:t xml:space="preserve">Q1 Projected Burn: $145,000/month (seasonal cash crunch)</w:t>
      </w:r>
    </w:p>
    <w:p>
      <w:pPr>
        <w:pStyle w:val="ListBullet"/>
      </w:pPr>
      <w:r>
        <w:t xml:space="preserve">• </w:t>
      </w:r>
      <w:r>
        <w:t xml:space="preserve">Runway: ~11 months at average burn, ~7 months at Q1 burn rate</w:t>
      </w:r>
    </w:p>
    <w:p>
      <w:pPr>
        <w:pStyle w:val="ListBullet"/>
      </w:pPr>
      <w:r>
        <w:t xml:space="preserve">• </w:t>
      </w:r>
      <w:r>
        <w:t xml:space="preserve">Last Raise: $3.2M Seed (August 2024)</w:t>
      </w:r>
    </w:p>
    <w:p>
      <w:pPr>
        <w:pStyle w:val="ListBullet"/>
      </w:pPr>
      <w:r>
        <w:t xml:space="preserve">• </w:t>
      </w:r>
      <w:r>
        <w:t xml:space="preserve">Next Raise: Series A targeting Q3 2026 at $10M+ GMV run rate</w:t>
      </w:r>
    </w:p>
    <w:p>
      <w:pPr>
        <w:spacing w:after="0" w:line="120" w:lineRule="auto"/>
      </w:pPr>
    </w:p>
    <w:p>
      <w:pPr>
        <w:pStyle w:val="Heading3"/>
      </w:pPr>
      <w:r>
        <w:t xml:space="preserve">Headcount</w:t>
      </w:r>
    </w:p>
    <w:p>
      <w:pPr>
        <w:pStyle w:val="ListBullet"/>
      </w:pPr>
      <w:r>
        <w:t xml:space="preserve">• </w:t>
      </w:r>
      <w:r>
        <w:t xml:space="preserve">Total: 16</w:t>
      </w:r>
    </w:p>
    <w:p>
      <w:pPr>
        <w:pStyle w:val="ListBullet"/>
      </w:pPr>
      <w:r>
        <w:t xml:space="preserve">• </w:t>
      </w:r>
      <w:r>
        <w:t xml:space="preserve">Engineering/Data: 6</w:t>
      </w:r>
    </w:p>
    <w:p>
      <w:pPr>
        <w:pStyle w:val="ListBullet"/>
      </w:pPr>
      <w:r>
        <w:t xml:space="preserve">• </w:t>
      </w:r>
      <w:r>
        <w:t xml:space="preserve">Verification/Quality: 4</w:t>
      </w:r>
    </w:p>
    <w:p>
      <w:pPr>
        <w:pStyle w:val="ListBullet"/>
      </w:pPr>
      <w:r>
        <w:t xml:space="preserve">• </w:t>
      </w:r>
      <w:r>
        <w:t xml:space="preserve">Sales/BD: 3</w:t>
      </w:r>
    </w:p>
    <w:p>
      <w:pPr>
        <w:pStyle w:val="ListBullet"/>
      </w:pPr>
      <w:r>
        <w:t xml:space="preserve">• </w:t>
      </w:r>
      <w:r>
        <w:t xml:space="preserve">Operations/G&amp;A: 3</w:t>
      </w:r>
    </w:p>
    <w:p>
      <w:pPr>
        <w:pStyle w:val="ListBullet"/>
      </w:pPr>
      <w:r>
        <w:t xml:space="preserve">• </w:t>
      </w:r>
      <w:r>
        <w:t xml:space="preserve">Revenue per Employee (net): $112,500</w:t>
      </w:r>
    </w:p>
    <w:p>
      <w:pPr>
        <w:spacing w:after="0" w:line="120" w:lineRule="auto"/>
      </w:pPr>
    </w:p>
    <w:p>
      <w:pPr>
        <w:pStyle w:val="Heading3"/>
      </w:pPr>
      <w:r>
        <w:t xml:space="preserve">Key Risks</w:t>
      </w:r>
    </w:p>
    <w:p>
      <w:pPr>
        <w:pStyle w:val="ListBullet"/>
      </w:pPr>
      <w:r>
        <w:t xml:space="preserve">1. </w:t>
      </w:r>
      <w:r>
        <w:t xml:space="preserve">Q4 concentration creates cash flow stress in Q1-Q3 — may need bridge financing</w:t>
      </w:r>
    </w:p>
    <w:p>
      <w:pPr>
        <w:pStyle w:val="ListBullet"/>
      </w:pPr>
      <w:r>
        <w:t xml:space="preserve">2. </w:t>
      </w:r>
      <w:r>
        <w:t xml:space="preserve">Take rate erosion will continue as enterprise mix grows — must find new margin sources</w:t>
      </w:r>
    </w:p>
    <w:p>
      <w:pPr>
        <w:pStyle w:val="ListBullet"/>
      </w:pPr>
      <w:r>
        <w:t xml:space="preserve">3. </w:t>
      </w:r>
      <w:r>
        <w:t xml:space="preserve">Verification costs are 18% of GMV regardless of take rate — structural margin pressure</w:t>
      </w:r>
    </w:p>
    <w:p>
      <w:pPr>
        <w:pStyle w:val="ListBullet"/>
      </w:pPr>
      <w:r>
        <w:t xml:space="preserve">4. </w:t>
      </w:r>
      <w:r>
        <w:t xml:space="preserve">Regulatory risk: EU CBAM and SEC climate disclosure rules could change credit demand patterns</w:t>
      </w:r>
    </w:p>
    <w:p>
      <w:pPr>
        <w:pStyle w:val="ListBullet"/>
      </w:pPr>
      <w:r>
        <w:t xml:space="preserve">5. </w:t>
      </w:r>
      <w:r>
        <w:t xml:space="preserve">Nature-based credit prices dropped 22% in H2 2025 — market oversupply risk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