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MedScribe AI — Q3 2025 Financial Report</w:t>
      </w:r>
    </w:p>
    <w:p>
      <w:pPr>
        <w:pStyle w:val="Heading2"/>
      </w:pPr>
      <w:r>
        <w:t xml:space="preserve">Period: July 1 – September 30, 2025</w:t>
      </w:r>
    </w:p>
    <w:p>
      <w:pPr>
        <w:pStyle w:val="Heading2"/>
      </w:pPr>
      <w:r>
        <w:t xml:space="preserve">Company Type: Healthtech (Clinical Documentation AI)</w:t>
      </w:r>
    </w:p>
    <w:p>
      <w:pPr>
        <w:spacing w:after="0" w:line="120" w:lineRule="auto"/>
      </w:pPr>
    </w:p>
    <w:p>
      <w:pPr>
        <w:pStyle w:val="Heading3"/>
      </w:pPr>
      <w:r>
        <w:t xml:space="preserve">Revenue Summary</w:t>
      </w:r>
    </w:p>
    <w:p>
      <w:pPr>
        <w:pStyle w:val="ListBullet"/>
      </w:pPr>
      <w:r>
        <w:t xml:space="preserve">• </w:t>
      </w:r>
      <w:r>
        <w:t xml:space="preserve">Total Revenue: $7,800,000 (Q3 2025)</w:t>
      </w:r>
    </w:p>
    <w:p>
      <w:pPr>
        <w:pStyle w:val="ListBullet"/>
      </w:pPr>
      <w:r>
        <w:t xml:space="preserve">• </w:t>
      </w:r>
      <w:r>
        <w:t xml:space="preserve">YoY Revenue Growth: 42%</w:t>
      </w:r>
    </w:p>
    <w:p>
      <w:pPr>
        <w:pStyle w:val="ListBullet"/>
      </w:pPr>
      <w:r>
        <w:t xml:space="preserve">• </w:t>
      </w:r>
      <w:r>
        <w:t xml:space="preserve">QoQ Revenue Growth: 11.4%</w:t>
      </w:r>
    </w:p>
    <w:p>
      <w:pPr>
        <w:pStyle w:val="ListBullet"/>
      </w:pPr>
      <w:r>
        <w:t xml:space="preserve">• </w:t>
      </w:r>
      <w:r>
        <w:t xml:space="preserve">Subscription Revenue: $6,084,000 (78% of total)</w:t>
      </w:r>
    </w:p>
    <w:p>
      <w:pPr>
        <w:pStyle w:val="ListBullet"/>
      </w:pPr>
      <w:r>
        <w:t xml:space="preserve">• </w:t>
      </w:r>
      <w:r>
        <w:t xml:space="preserve">Professional Services Revenue: $1,716,000 (22% of total — see note)</w:t>
      </w:r>
    </w:p>
    <w:p>
      <w:pPr>
        <w:spacing w:after="0" w:line="120" w:lineRule="auto"/>
      </w:pPr>
    </w:p>
    <w:p>
      <w:pPr>
        <w:pStyle w:val="Heading3"/>
      </w:pPr>
      <w:r>
        <w:t xml:space="preserve">Revenue Decomposition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Revenue Line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Q3 2025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Q2 2025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Q1 2025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Q4 2024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Subscription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$6,084K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$5,520K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$5,016K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$4,600K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Professional Services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$1,716K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$1,480K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$1,284K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$900K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Total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$7,800K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$7,000K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$6,300K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$5,500K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Professional Services Concern:</w:t>
      </w:r>
      <w:r>
        <w:t xml:space="preserve"> PS revenue has grown to 22% of total, up from</w:t>
      </w:r>
    </w:p>
    <w:p>
      <w:r>
        <w:t xml:space="preserve">16% in Q4 2024. Hospital integrations with Epic, Cerner, and MEDITECH require</w:t>
      </w:r>
    </w:p>
    <w:p>
      <w:r>
        <w:t xml:space="preserve">significant custom work. Average PS engagement is $42K and 6-8 weeks. Targeting</w:t>
      </w:r>
    </w:p>
    <w:p>
      <w:r>
        <w:t xml:space="preserve">&lt;15% PS mix by end of 2026 through templated integration modules.</w:t>
      </w:r>
    </w:p>
    <w:p>
      <w:pPr>
        <w:spacing w:after="0" w:line="120" w:lineRule="auto"/>
      </w:pPr>
    </w:p>
    <w:p>
      <w:pPr>
        <w:pStyle w:val="Heading3"/>
      </w:pPr>
      <w:r>
        <w:t xml:space="preserve">Customer Metrics</w:t>
      </w:r>
    </w:p>
    <w:p>
      <w:pPr>
        <w:pStyle w:val="ListBullet"/>
      </w:pPr>
      <w:r>
        <w:t xml:space="preserve">• </w:t>
      </w:r>
      <w:r>
        <w:t xml:space="preserve">Hospital Clients (active contracts): 340</w:t>
      </w:r>
    </w:p>
    <w:p>
      <w:pPr>
        <w:pStyle w:val="ListBullet"/>
      </w:pPr>
      <w:r>
        <w:t xml:space="preserve">• </w:t>
      </w:r>
      <w:r>
        <w:t xml:space="preserve">New Clients (Q3): 38</w:t>
      </w:r>
    </w:p>
    <w:p>
      <w:pPr>
        <w:pStyle w:val="ListBullet"/>
      </w:pPr>
      <w:r>
        <w:t xml:space="preserve">• </w:t>
      </w:r>
      <w:r>
        <w:t xml:space="preserve">Churned Clients (Q3): 4 (1.2% quarterly, 4.7% annualized)</w:t>
      </w:r>
    </w:p>
    <w:p>
      <w:pPr>
        <w:pStyle w:val="ListBullet"/>
      </w:pPr>
      <w:r>
        <w:t xml:space="preserve">• </w:t>
      </w:r>
      <w:r>
        <w:t xml:space="preserve">Average Contract Value: $71,600/year</w:t>
      </w:r>
    </w:p>
    <w:p>
      <w:pPr>
        <w:pStyle w:val="ListBullet"/>
      </w:pPr>
      <w:r>
        <w:t xml:space="preserve">• </w:t>
      </w:r>
      <w:r>
        <w:t xml:space="preserve">Median Contract Value: $48,000/year (long tail of smaller clinics)</w:t>
      </w:r>
    </w:p>
    <w:p>
      <w:pPr>
        <w:pStyle w:val="ListBullet"/>
      </w:pPr>
      <w:r>
        <w:t xml:space="preserve">• </w:t>
      </w:r>
      <w:r>
        <w:t xml:space="preserve">Clients &gt;$200K ACV: 22 (6.5% of clients, 31% of ARR)</w:t>
      </w:r>
    </w:p>
    <w:p>
      <w:pPr>
        <w:spacing w:after="0" w:line="120" w:lineRule="auto"/>
      </w:pPr>
    </w:p>
    <w:p>
      <w:pPr>
        <w:pStyle w:val="Heading3"/>
      </w:pPr>
      <w:r>
        <w:t xml:space="preserve">Deferred Revenue — Unusual Concentration</w:t>
      </w:r>
    </w:p>
    <w:p>
      <w:pPr>
        <w:pStyle w:val="ListBullet"/>
      </w:pPr>
      <w:r>
        <w:t xml:space="preserve">• </w:t>
      </w:r>
      <w:r>
        <w:t xml:space="preserve">Total Deferred Revenue: $12,000,000</w:t>
      </w:r>
    </w:p>
    <w:p>
      <w:pPr>
        <w:pStyle w:val="ListBullet"/>
      </w:pPr>
      <w:r>
        <w:t xml:space="preserve">• </w:t>
      </w:r>
      <w:r>
        <w:t xml:space="preserve">Deferred Revenue / Quarterly Revenue: 1.54x</w:t>
      </w:r>
    </w:p>
    <w:p>
      <w:pPr>
        <w:pStyle w:val="ListBullet"/>
      </w:pPr>
      <w:r>
        <w:t xml:space="preserve">• </w:t>
      </w:r>
      <w:r>
        <w:t xml:space="preserve">Explanation: 8 large health system contracts signed in Q3 with 2-3 year terms,</w:t>
      </w:r>
    </w:p>
    <w:p>
      <w:r>
        <w:t xml:space="preserve">prepaid annually. Three contracts alone account for $5.2M of deferred revenue.</w:t>
      </w:r>
    </w:p>
    <w:p>
      <w:r>
        <w:t xml:space="preserve">Revenue recognition is ratable over contract term</w:t>
      </w:r>
    </w:p>
    <w:p>
      <w:pPr>
        <w:pStyle w:val="ListBullet"/>
      </w:pPr>
      <w:r>
        <w:t xml:space="preserve">• </w:t>
      </w:r>
      <w:r>
        <w:t xml:space="preserve">Remaining Performance Obligations (RPO): $28,400,000</w:t>
      </w:r>
    </w:p>
    <w:p>
      <w:pPr>
        <w:pStyle w:val="ListBullet"/>
      </w:pPr>
      <w:r>
        <w:t xml:space="preserve">• </w:t>
      </w:r>
      <w:r>
        <w:t xml:space="preserve">Current RPO (next 12 months): $16,800,000</w:t>
      </w:r>
    </w:p>
    <w:p>
      <w:pPr>
        <w:spacing w:after="0" w:line="120" w:lineRule="auto"/>
      </w:pPr>
    </w:p>
    <w:p>
      <w:pPr>
        <w:pStyle w:val="Heading3"/>
      </w:pPr>
      <w:r>
        <w:t xml:space="preserve">Profitability</w:t>
      </w:r>
    </w:p>
    <w:p>
      <w:pPr>
        <w:pStyle w:val="ListBullet"/>
      </w:pPr>
      <w:r>
        <w:t xml:space="preserve">• </w:t>
      </w:r>
      <w:r>
        <w:t xml:space="preserve">Gross Profit: $5,148,000</w:t>
      </w:r>
    </w:p>
    <w:p>
      <w:pPr>
        <w:pStyle w:val="ListBullet"/>
      </w:pPr>
      <w:r>
        <w:t xml:space="preserve">• </w:t>
      </w:r>
      <w:r>
        <w:t xml:space="preserve">Gross Margin: 66.0%</w:t>
      </w:r>
    </w:p>
    <w:p>
      <w:pPr>
        <w:pStyle w:val="ListBullet"/>
      </w:pPr>
      <w:r>
        <w:t xml:space="preserve">• </w:t>
      </w:r>
      <w:r>
        <w:t xml:space="preserve">Subscription Gross Margin: 74.2%</w:t>
      </w:r>
    </w:p>
    <w:p>
      <w:pPr>
        <w:pStyle w:val="ListBullet"/>
      </w:pPr>
      <w:r>
        <w:t xml:space="preserve">• </w:t>
      </w:r>
      <w:r>
        <w:t xml:space="preserve">PS Gross Margin: 36.8% (labor-intensive)</w:t>
      </w:r>
    </w:p>
    <w:p>
      <w:pPr>
        <w:pStyle w:val="ListBullet"/>
      </w:pPr>
      <w:r>
        <w:t xml:space="preserve">• </w:t>
      </w:r>
      <w:r>
        <w:t xml:space="preserve">R&amp;D Expense: $3,510,000 (45.0% of revenue)</w:t>
      </w:r>
    </w:p>
    <w:p>
      <w:pPr>
        <w:pStyle w:val="ListBullet"/>
      </w:pPr>
      <w:r>
        <w:t xml:space="preserve">• </w:t>
      </w:r>
      <w:r>
        <w:t xml:space="preserve">Of which FDA clinical validation: $980,000 (12.6% of revenue)</w:t>
      </w:r>
    </w:p>
    <w:p>
      <w:pPr>
        <w:pStyle w:val="ListBullet"/>
      </w:pPr>
      <w:r>
        <w:t xml:space="preserve">• </w:t>
      </w:r>
      <w:r>
        <w:t xml:space="preserve">Core AI/ML development: $1,680,000</w:t>
      </w:r>
    </w:p>
    <w:p>
      <w:pPr>
        <w:pStyle w:val="ListBullet"/>
      </w:pPr>
      <w:r>
        <w:t xml:space="preserve">• </w:t>
      </w:r>
      <w:r>
        <w:t xml:space="preserve">Infrastructure: $850,000</w:t>
      </w:r>
    </w:p>
    <w:p>
      <w:pPr>
        <w:pStyle w:val="ListBullet"/>
      </w:pPr>
      <w:r>
        <w:t xml:space="preserve">• </w:t>
      </w:r>
      <w:r>
        <w:t xml:space="preserve">Sales &amp; Marketing: $1,950,000 (25.0% of revenue)</w:t>
      </w:r>
    </w:p>
    <w:p>
      <w:pPr>
        <w:pStyle w:val="ListBullet"/>
      </w:pPr>
      <w:r>
        <w:t xml:space="preserve">• </w:t>
      </w:r>
      <w:r>
        <w:t xml:space="preserve">G&amp;A: $1,120,000 (14.4% of revenue)</w:t>
      </w:r>
    </w:p>
    <w:p>
      <w:pPr>
        <w:pStyle w:val="ListBullet"/>
      </w:pPr>
      <w:r>
        <w:t xml:space="preserve">• </w:t>
      </w:r>
      <w:r>
        <w:t xml:space="preserve">Total Operating Expenses: $6,580,000</w:t>
      </w:r>
    </w:p>
    <w:p>
      <w:pPr>
        <w:pStyle w:val="ListBullet"/>
      </w:pPr>
      <w:r>
        <w:t xml:space="preserve">• </w:t>
      </w:r>
      <w:r>
        <w:t xml:space="preserve">Operating Loss: $(1,432,000)</w:t>
      </w:r>
    </w:p>
    <w:p>
      <w:pPr>
        <w:pStyle w:val="ListBullet"/>
      </w:pPr>
      <w:r>
        <w:t xml:space="preserve">• </w:t>
      </w:r>
      <w:r>
        <w:t xml:space="preserve">Operating Margin: -18.4%</w:t>
      </w:r>
    </w:p>
    <w:p>
      <w:pPr>
        <w:spacing w:after="0" w:line="120" w:lineRule="auto"/>
      </w:pPr>
    </w:p>
    <w:p>
      <w:pPr>
        <w:pStyle w:val="Heading3"/>
      </w:pPr>
      <w:r>
        <w:t xml:space="preserve">R&amp;D Deep Dive — FDA Costs</w:t>
      </w:r>
    </w:p>
    <w:p>
      <w:pPr>
        <w:pStyle w:val="ListBullet"/>
      </w:pPr>
      <w:r>
        <w:t xml:space="preserve">• </w:t>
      </w:r>
      <w:r>
        <w:t xml:space="preserve">Total R&amp;D: 45% of revenue (well above SaaS benchmarks of 15-25%)</w:t>
      </w:r>
    </w:p>
    <w:p>
      <w:pPr>
        <w:pStyle w:val="ListBullet"/>
      </w:pPr>
      <w:r>
        <w:t xml:space="preserve">• </w:t>
      </w:r>
      <w:r>
        <w:t xml:space="preserve">FDA Class II 510(k) submission for ambient documentation module: in progress</w:t>
      </w:r>
    </w:p>
    <w:p>
      <w:pPr>
        <w:pStyle w:val="ListBullet"/>
      </w:pPr>
      <w:r>
        <w:t xml:space="preserve">• </w:t>
      </w:r>
      <w:r>
        <w:t xml:space="preserve">Clinical trial costs (3 hospital validation sites): $420K in Q3</w:t>
      </w:r>
    </w:p>
    <w:p>
      <w:pPr>
        <w:pStyle w:val="ListBullet"/>
      </w:pPr>
      <w:r>
        <w:t xml:space="preserve">• </w:t>
      </w:r>
      <w:r>
        <w:t xml:space="preserve">Regulatory consulting (FDA strategy): $180K in Q3</w:t>
      </w:r>
    </w:p>
    <w:p>
      <w:pPr>
        <w:pStyle w:val="ListBullet"/>
      </w:pPr>
      <w:r>
        <w:t xml:space="preserve">• </w:t>
      </w:r>
      <w:r>
        <w:t xml:space="preserve">Expected FDA clearance: Q2 2026</w:t>
      </w:r>
    </w:p>
    <w:p>
      <w:pPr>
        <w:pStyle w:val="ListBullet"/>
      </w:pPr>
      <w:r>
        <w:t xml:space="preserve">• </w:t>
      </w:r>
      <w:r>
        <w:t xml:space="preserve">Post-clearance, R&amp;D should normalize to 28-30% of revenue</w:t>
      </w:r>
    </w:p>
    <w:p>
      <w:pPr>
        <w:spacing w:after="0" w:line="120" w:lineRule="auto"/>
      </w:pPr>
    </w:p>
    <w:p>
      <w:pPr>
        <w:pStyle w:val="Heading3"/>
      </w:pPr>
      <w:r>
        <w:t xml:space="preserve">Working Capital — Negative Position</w:t>
      </w:r>
    </w:p>
    <w:p>
      <w:pPr>
        <w:pStyle w:val="ListBullet"/>
      </w:pPr>
      <w:r>
        <w:t xml:space="preserve">• </w:t>
      </w:r>
      <w:r>
        <w:t xml:space="preserve">Current Assets: $8,200,000</w:t>
      </w:r>
    </w:p>
    <w:p>
      <w:pPr>
        <w:pStyle w:val="ListBullet"/>
      </w:pPr>
      <w:r>
        <w:t xml:space="preserve">• </w:t>
      </w:r>
      <w:r>
        <w:t xml:space="preserve">Cash: $4,100,000</w:t>
      </w:r>
    </w:p>
    <w:p>
      <w:pPr>
        <w:pStyle w:val="ListBullet"/>
      </w:pPr>
      <w:r>
        <w:t xml:space="preserve">• </w:t>
      </w:r>
      <w:r>
        <w:t xml:space="preserve">Accounts Receivable: $3,400,000 (DSO: 39 days)</w:t>
      </w:r>
    </w:p>
    <w:p>
      <w:pPr>
        <w:pStyle w:val="ListBullet"/>
      </w:pPr>
      <w:r>
        <w:t xml:space="preserve">• </w:t>
      </w:r>
      <w:r>
        <w:t xml:space="preserve">Prepaid / Other: $700,000</w:t>
      </w:r>
    </w:p>
    <w:p>
      <w:pPr>
        <w:pStyle w:val="ListBullet"/>
      </w:pPr>
      <w:r>
        <w:t xml:space="preserve">• </w:t>
      </w:r>
      <w:r>
        <w:t xml:space="preserve">Current Liabilities: $14,800,000</w:t>
      </w:r>
    </w:p>
    <w:p>
      <w:pPr>
        <w:pStyle w:val="ListBullet"/>
      </w:pPr>
      <w:r>
        <w:t xml:space="preserve">• </w:t>
      </w:r>
      <w:r>
        <w:t xml:space="preserve">Deferred Revenue (current): $12,000,000</w:t>
      </w:r>
    </w:p>
    <w:p>
      <w:pPr>
        <w:pStyle w:val="ListBullet"/>
      </w:pPr>
      <w:r>
        <w:t xml:space="preserve">• </w:t>
      </w:r>
      <w:r>
        <w:t xml:space="preserve">Accounts Payable: $1,600,000</w:t>
      </w:r>
    </w:p>
    <w:p>
      <w:pPr>
        <w:pStyle w:val="ListBullet"/>
      </w:pPr>
      <w:r>
        <w:t xml:space="preserve">• </w:t>
      </w:r>
      <w:r>
        <w:t xml:space="preserve">Accrued Expenses: $1,200,000</w:t>
      </w:r>
    </w:p>
    <w:p>
      <w:pPr>
        <w:pStyle w:val="ListBullet"/>
      </w:pPr>
      <w:r>
        <w:t xml:space="preserve">• </w:t>
      </w:r>
      <w:r>
        <w:t xml:space="preserve">Net Working Capital: $(6,600,000)</w:t>
      </w:r>
    </w:p>
    <w:p>
      <w:pPr>
        <w:pStyle w:val="ListBullet"/>
      </w:pPr>
      <w:r>
        <w:t xml:space="preserve">• </w:t>
      </w:r>
      <w:r>
        <w:t xml:space="preserve">Note: Negative working capital is driven by deferred revenue (a positive signal —</w:t>
      </w:r>
    </w:p>
    <w:p>
      <w:r>
        <w:t xml:space="preserve">customers are prepaying). Excluding deferred revenue, working capital is $5.4M positive</w:t>
      </w:r>
    </w:p>
    <w:p>
      <w:pPr>
        <w:spacing w:after="0" w:line="120" w:lineRule="auto"/>
      </w:pPr>
    </w:p>
    <w:p>
      <w:pPr>
        <w:pStyle w:val="Heading3"/>
      </w:pPr>
      <w:r>
        <w:t xml:space="preserve">Cash Flow</w:t>
      </w:r>
    </w:p>
    <w:p>
      <w:pPr>
        <w:pStyle w:val="ListBullet"/>
      </w:pPr>
      <w:r>
        <w:t xml:space="preserve">• </w:t>
      </w:r>
      <w:r>
        <w:t xml:space="preserve">Operating Cash Flow: $1,800,000 (positive, due to deferred revenue collections)</w:t>
      </w:r>
    </w:p>
    <w:p>
      <w:pPr>
        <w:pStyle w:val="ListBullet"/>
      </w:pPr>
      <w:r>
        <w:t xml:space="preserve">• </w:t>
      </w:r>
      <w:r>
        <w:t xml:space="preserve">Capital Expenditures: $(340,000)</w:t>
      </w:r>
    </w:p>
    <w:p>
      <w:pPr>
        <w:pStyle w:val="ListBullet"/>
      </w:pPr>
      <w:r>
        <w:t xml:space="preserve">• </w:t>
      </w:r>
      <w:r>
        <w:t xml:space="preserve">Free Cash Flow: $1,460,000</w:t>
      </w:r>
    </w:p>
    <w:p>
      <w:pPr>
        <w:pStyle w:val="ListBullet"/>
      </w:pPr>
      <w:r>
        <w:t xml:space="preserve">• </w:t>
      </w:r>
      <w:r>
        <w:t xml:space="preserve">Cash on Hand: $4,100,000</w:t>
      </w:r>
    </w:p>
    <w:p>
      <w:pPr>
        <w:pStyle w:val="ListBullet"/>
      </w:pPr>
      <w:r>
        <w:t xml:space="preserve">• </w:t>
      </w:r>
      <w:r>
        <w:t xml:space="preserve">Debt: $0 (equity-funded)</w:t>
      </w:r>
    </w:p>
    <w:p>
      <w:pPr>
        <w:spacing w:after="0" w:line="120" w:lineRule="auto"/>
      </w:pPr>
    </w:p>
    <w:p>
      <w:pPr>
        <w:pStyle w:val="Heading3"/>
      </w:pPr>
      <w:r>
        <w:t xml:space="preserve">Quarterly Progression — Trailing 4 Quarters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Q4 2024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Q1 2025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Q2 2025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Q3 2025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$5.5M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$6.3M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$7.0M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$7.8M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68.2%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67.1%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66.8%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66.0%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R&amp;D % Revenue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38%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41%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43%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45%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Clients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298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318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340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Net Burn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$320K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$(1.46M) CF+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Key Risks &amp; Notes</w:t>
      </w:r>
    </w:p>
    <w:p>
      <w:pPr>
        <w:pStyle w:val="ListBullet"/>
      </w:pPr>
      <w:r>
        <w:t xml:space="preserve">1. </w:t>
      </w:r>
      <w:r>
        <w:t xml:space="preserve">Professional services mix trending wrong direction — must productize integrations</w:t>
      </w:r>
    </w:p>
    <w:p>
      <w:pPr>
        <w:pStyle w:val="ListBullet"/>
      </w:pPr>
      <w:r>
        <w:t xml:space="preserve">2. </w:t>
      </w:r>
      <w:r>
        <w:t xml:space="preserve">FDA costs are front-loaded; failure to obtain clearance would require $2M+ write-off</w:t>
      </w:r>
    </w:p>
    <w:p>
      <w:pPr>
        <w:pStyle w:val="ListBullet"/>
      </w:pPr>
      <w:r>
        <w:t xml:space="preserve">3. </w:t>
      </w:r>
      <w:r>
        <w:t xml:space="preserve">Top 3 clients represent 14% of ARR — moderate concentration risk</w:t>
      </w:r>
    </w:p>
    <w:p>
      <w:pPr>
        <w:pStyle w:val="ListBullet"/>
      </w:pPr>
      <w:r>
        <w:t xml:space="preserve">4. </w:t>
      </w:r>
      <w:r>
        <w:t xml:space="preserve">Hospital budget cycles create lumpy bookings (Q1 typically weakest)</w:t>
      </w:r>
    </w:p>
    <w:p>
      <w:pPr>
        <w:pStyle w:val="ListBullet"/>
      </w:pPr>
      <w:r>
        <w:t xml:space="preserve">5. </w:t>
      </w:r>
      <w:r>
        <w:t xml:space="preserve">Deferred revenue creates positive cash flow but masks underlying operating loss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