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PayLoop — Seed-Stage Monthly KPI Report</w:t>
      </w:r>
    </w:p>
    <w:p>
      <w:pPr>
        <w:pStyle w:val="Heading2"/>
      </w:pPr>
      <w:r>
        <w:t xml:space="preserve">Period: January 2026</w:t>
      </w:r>
    </w:p>
    <w:p>
      <w:pPr>
        <w:pStyle w:val="Heading2"/>
      </w:pPr>
      <w:r>
        <w:t xml:space="preserve">Company Type: Fintech (Contractor Payments / Payroll)</w:t>
      </w:r>
    </w:p>
    <w:p>
      <w:pPr>
        <w:spacing w:after="0" w:line="120" w:lineRule="auto"/>
      </w:pPr>
    </w:p>
    <w:p>
      <w:pPr>
        <w:pStyle w:val="Heading3"/>
      </w:pPr>
      <w:r>
        <w:t xml:space="preserve">Revenue Metrics</w:t>
      </w:r>
    </w:p>
    <w:p>
      <w:pPr>
        <w:pStyle w:val="ListBullet"/>
      </w:pPr>
      <w:r>
        <w:t xml:space="preserve">• </w:t>
      </w:r>
      <w:r>
        <w:t xml:space="preserve">MRR: $480,000</w:t>
      </w:r>
    </w:p>
    <w:p>
      <w:pPr>
        <w:pStyle w:val="ListBullet"/>
      </w:pPr>
      <w:r>
        <w:t xml:space="preserve">• </w:t>
      </w:r>
      <w:r>
        <w:t xml:space="preserve">ARR: $5,760,000</w:t>
      </w:r>
    </w:p>
    <w:p>
      <w:pPr>
        <w:pStyle w:val="ListBullet"/>
      </w:pPr>
      <w:r>
        <w:t xml:space="preserve">• </w:t>
      </w:r>
      <w:r>
        <w:t xml:space="preserve">MRR Growth (MoM): 9.1%</w:t>
      </w:r>
    </w:p>
    <w:p>
      <w:pPr>
        <w:pStyle w:val="ListBullet"/>
      </w:pPr>
      <w:r>
        <w:t xml:space="preserve">• </w:t>
      </w:r>
      <w:r>
        <w:t xml:space="preserve">ARR Growth (YoY): 195%</w:t>
      </w:r>
    </w:p>
    <w:p>
      <w:pPr>
        <w:pStyle w:val="ListBullet"/>
      </w:pPr>
      <w:r>
        <w:t xml:space="preserve">• </w:t>
      </w:r>
      <w:r>
        <w:t xml:space="preserve">New MRR: $72,000</w:t>
      </w:r>
    </w:p>
    <w:p>
      <w:pPr>
        <w:pStyle w:val="ListBullet"/>
      </w:pPr>
      <w:r>
        <w:t xml:space="preserve">• </w:t>
      </w:r>
      <w:r>
        <w:t xml:space="preserve">Expansion MRR: $14,500</w:t>
      </w:r>
    </w:p>
    <w:p>
      <w:pPr>
        <w:pStyle w:val="ListBullet"/>
      </w:pPr>
      <w:r>
        <w:t xml:space="preserve">• </w:t>
      </w:r>
      <w:r>
        <w:t xml:space="preserve">Churned MRR: $42,600 (6.0% monthly — see note below)</w:t>
      </w:r>
    </w:p>
    <w:p>
      <w:pPr>
        <w:pStyle w:val="ListBullet"/>
      </w:pPr>
      <w:r>
        <w:t xml:space="preserve">• </w:t>
      </w:r>
      <w:r>
        <w:t xml:space="preserve">Net New MRR: $43,900</w:t>
      </w:r>
    </w:p>
    <w:p>
      <w:pPr>
        <w:pStyle w:val="ListBullet"/>
      </w:pPr>
      <w:r>
        <w:t xml:space="preserve">• </w:t>
      </w:r>
      <w:r>
        <w:t xml:space="preserve">Take Rate: 3.2% on gross payment volume of $15.0M/month</w:t>
      </w:r>
    </w:p>
    <w:p>
      <w:pPr>
        <w:spacing w:after="0" w:line="120" w:lineRule="auto"/>
      </w:pPr>
    </w:p>
    <w:p>
      <w:pPr>
        <w:pStyle w:val="Heading3"/>
      </w:pPr>
      <w:r>
        <w:t xml:space="preserve">Currency Exposure</w:t>
      </w:r>
    </w:p>
    <w:p>
      <w:pPr>
        <w:pStyle w:val="ListBullet"/>
      </w:pPr>
      <w:r>
        <w:t xml:space="preserve">• </w:t>
      </w:r>
      <w:r>
        <w:t xml:space="preserve">USD Revenue: 60% ($288K MRR)</w:t>
      </w:r>
    </w:p>
    <w:p>
      <w:pPr>
        <w:pStyle w:val="ListBullet"/>
      </w:pPr>
      <w:r>
        <w:t xml:space="preserve">• </w:t>
      </w:r>
      <w:r>
        <w:t xml:space="preserve">BRL Revenue: 34% ($163K MRR) — exposed to BRL/USD volatility</w:t>
      </w:r>
    </w:p>
    <w:p>
      <w:pPr>
        <w:pStyle w:val="ListBullet"/>
      </w:pPr>
      <w:r>
        <w:t xml:space="preserve">• </w:t>
      </w:r>
      <w:r>
        <w:t xml:space="preserve">Other (COP, PEN): 6% ($29K MRR)</w:t>
      </w:r>
    </w:p>
    <w:p>
      <w:pPr>
        <w:pStyle w:val="ListBullet"/>
      </w:pPr>
      <w:r>
        <w:t xml:space="preserve">• </w:t>
      </w:r>
      <w:r>
        <w:t xml:space="preserve">BRL depreciated 8.2% vs USD in trailing 90 days — recognized $18K FX loss</w:t>
      </w:r>
    </w:p>
    <w:p>
      <w:pPr>
        <w:pStyle w:val="ListBullet"/>
      </w:pPr>
      <w:r>
        <w:t xml:space="preserve">• </w:t>
      </w:r>
      <w:r>
        <w:t xml:space="preserve">FX hedging cost: $6,200/month (partial hedge on BRL, 40% notional)</w:t>
      </w:r>
    </w:p>
    <w:p>
      <w:pPr>
        <w:spacing w:after="0" w:line="120" w:lineRule="auto"/>
      </w:pPr>
    </w:p>
    <w:p>
      <w:pPr>
        <w:pStyle w:val="Heading3"/>
      </w:pPr>
      <w:r>
        <w:t xml:space="preserve">Customer Metrics</w:t>
      </w:r>
    </w:p>
    <w:p>
      <w:pPr>
        <w:pStyle w:val="ListBullet"/>
      </w:pPr>
      <w:r>
        <w:t xml:space="preserve">• </w:t>
      </w:r>
      <w:r>
        <w:t xml:space="preserve">Total Active Contractors on Platform: 1,200</w:t>
      </w:r>
    </w:p>
    <w:p>
      <w:pPr>
        <w:pStyle w:val="ListBullet"/>
      </w:pPr>
      <w:r>
        <w:t xml:space="preserve">• </w:t>
      </w:r>
      <w:r>
        <w:t xml:space="preserve">Paying Employer Clients: 87</w:t>
      </w:r>
    </w:p>
    <w:p>
      <w:pPr>
        <w:pStyle w:val="ListBullet"/>
      </w:pPr>
      <w:r>
        <w:t xml:space="preserve">• </w:t>
      </w:r>
      <w:r>
        <w:t xml:space="preserve">New Clients (month): 14</w:t>
      </w:r>
    </w:p>
    <w:p>
      <w:pPr>
        <w:pStyle w:val="ListBullet"/>
      </w:pPr>
      <w:r>
        <w:t xml:space="preserve">• </w:t>
      </w:r>
      <w:r>
        <w:t xml:space="preserve">Churned Clients (month): 6 (6.9% monthly logo churn)</w:t>
      </w:r>
    </w:p>
    <w:p>
      <w:pPr>
        <w:pStyle w:val="ListBullet"/>
      </w:pPr>
      <w:r>
        <w:t xml:space="preserve">• </w:t>
      </w:r>
      <w:r>
        <w:t xml:space="preserve">Average Contractors per Client: 13.8</w:t>
      </w:r>
    </w:p>
    <w:p>
      <w:pPr>
        <w:pStyle w:val="ListBullet"/>
      </w:pPr>
      <w:r>
        <w:t xml:space="preserve">• </w:t>
      </w:r>
      <w:r>
        <w:t xml:space="preserve">Revenue per Contractor: $400/month</w:t>
      </w:r>
    </w:p>
    <w:p>
      <w:pPr>
        <w:pStyle w:val="ListBullet"/>
      </w:pPr>
      <w:r>
        <w:t xml:space="preserve">• </w:t>
      </w:r>
      <w:r>
        <w:t xml:space="preserve">Average Revenue per Client: $5,517/month</w:t>
      </w:r>
    </w:p>
    <w:p>
      <w:pPr>
        <w:spacing w:after="0" w:line="120" w:lineRule="auto"/>
      </w:pPr>
    </w:p>
    <w:p>
      <w:pPr>
        <w:pStyle w:val="Heading3"/>
      </w:pPr>
      <w:r>
        <w:t xml:space="preserve">Unit Economics — WARNING: NEGATIVE TRAJECTORY</w:t>
      </w:r>
    </w:p>
    <w:p>
      <w:pPr>
        <w:pStyle w:val="ListBullet"/>
      </w:pPr>
      <w:r>
        <w:t xml:space="preserve">• </w:t>
      </w:r>
      <w:r>
        <w:t xml:space="preserve">Customer Acquisition Cost (CAC): $340 per contractor</w:t>
      </w:r>
    </w:p>
    <w:p>
      <w:pPr>
        <w:pStyle w:val="ListBullet"/>
      </w:pPr>
      <w:r>
        <w:t xml:space="preserve">• </w:t>
      </w:r>
      <w:r>
        <w:t xml:space="preserve">Average Contractor Lifetime: 5.0 months (high turnover in gig/contract labor)</w:t>
      </w:r>
    </w:p>
    <w:p>
      <w:pPr>
        <w:pStyle w:val="ListBullet"/>
      </w:pPr>
      <w:r>
        <w:t xml:space="preserve">• </w:t>
      </w:r>
      <w:r>
        <w:t xml:space="preserve">Lifetime Value (LTV) per Contractor: $768 (5.0 months x $400/mo x 38.4% contribution margin)</w:t>
      </w:r>
    </w:p>
    <w:p>
      <w:pPr>
        <w:pStyle w:val="ListBullet"/>
      </w:pPr>
      <w:r>
        <w:t xml:space="preserve">• </w:t>
      </w:r>
      <w:r>
        <w:t xml:space="preserve">LTV/CAC Ratio: 2.26x (target &gt;3.0x)</w:t>
      </w:r>
    </w:p>
    <w:p>
      <w:pPr>
        <w:pStyle w:val="ListBullet"/>
      </w:pPr>
      <w:r>
        <w:t xml:space="preserve">• </w:t>
      </w:r>
      <w:r>
        <w:t xml:space="preserve">CAC Payback Period: 2.2 months (on revenue), 5.8 months (on contribution margin)</w:t>
      </w:r>
    </w:p>
    <w:p>
      <w:pPr>
        <w:pStyle w:val="ListBullet"/>
      </w:pPr>
      <w:r>
        <w:t xml:space="preserve">• </w:t>
      </w:r>
      <w:r>
        <w:t xml:space="preserve">Gross Margin: 58% (after payment processing, FX costs, banking rails)</w:t>
      </w:r>
    </w:p>
    <w:p>
      <w:pPr>
        <w:pStyle w:val="ListBullet"/>
      </w:pPr>
      <w:r>
        <w:t xml:space="preserve">• </w:t>
      </w:r>
      <w:r>
        <w:t xml:space="preserve">Contribution Margin: 38.4% (after direct support, compliance, FX hedge)</w:t>
      </w:r>
    </w:p>
    <w:p>
      <w:pPr>
        <w:spacing w:after="0" w:line="120" w:lineRule="auto"/>
      </w:pPr>
    </w:p>
    <w:p>
      <w:pPr>
        <w:pStyle w:val="Heading3"/>
      </w:pPr>
      <w:r>
        <w:t xml:space="preserve">Churn Analysis — Key Concern</w:t>
      </w:r>
    </w:p>
    <w:p>
      <w:pPr>
        <w:pStyle w:val="ListBullet"/>
      </w:pPr>
      <w:r>
        <w:t xml:space="preserve">• </w:t>
      </w:r>
      <w:r>
        <w:t xml:space="preserve">Monthly Contractor Churn: 6.0% (72% annualized)</w:t>
      </w:r>
    </w:p>
    <w:p>
      <w:pPr>
        <w:pStyle w:val="ListBullet"/>
      </w:pPr>
      <w:r>
        <w:t xml:space="preserve">• </w:t>
      </w:r>
      <w:r>
        <w:t xml:space="preserve">Monthly Client Logo Churn: 6.9%</w:t>
      </w:r>
    </w:p>
    <w:p>
      <w:pPr>
        <w:pStyle w:val="ListBullet"/>
      </w:pPr>
      <w:r>
        <w:t xml:space="preserve">• </w:t>
      </w:r>
      <w:r>
        <w:t xml:space="preserve">Primary Churn Driver: Contract completion (42% of churn)</w:t>
      </w:r>
    </w:p>
    <w:p>
      <w:pPr>
        <w:pStyle w:val="ListBullet"/>
      </w:pPr>
      <w:r>
        <w:t xml:space="preserve">• </w:t>
      </w:r>
      <w:r>
        <w:t xml:space="preserve">Secondary: Competitor switch to Deel/Remote (23%)</w:t>
      </w:r>
    </w:p>
    <w:p>
      <w:pPr>
        <w:pStyle w:val="ListBullet"/>
      </w:pPr>
      <w:r>
        <w:t xml:space="preserve">• </w:t>
      </w:r>
      <w:r>
        <w:t xml:space="preserve">Tertiary: Client bankruptcy/insolvency (18% — LatAm SMB fragility)</w:t>
      </w:r>
    </w:p>
    <w:p>
      <w:pPr>
        <w:pStyle w:val="ListBullet"/>
      </w:pPr>
      <w:r>
        <w:t xml:space="preserve">• </w:t>
      </w:r>
      <w:r>
        <w:t xml:space="preserve">Involuntary churn (payment failures): 17%</w:t>
      </w:r>
    </w:p>
    <w:p>
      <w:pPr>
        <w:pStyle w:val="ListBullet"/>
      </w:pPr>
      <w:r>
        <w:t xml:space="preserve">• </w:t>
      </w:r>
      <w:r>
        <w:t xml:space="preserve">Cohort data: Nov 2025 cohort at 78% retention after 60 days, Oct 2025 at 64% after 90 days</w:t>
      </w:r>
    </w:p>
    <w:p>
      <w:pPr>
        <w:spacing w:after="0" w:line="120" w:lineRule="auto"/>
      </w:pPr>
    </w:p>
    <w:p>
      <w:pPr>
        <w:pStyle w:val="Heading3"/>
      </w:pPr>
      <w:r>
        <w:t xml:space="preserve">Compliance Costs — Eating Into Margin</w:t>
      </w:r>
    </w:p>
    <w:p>
      <w:pPr>
        <w:pStyle w:val="ListBullet"/>
      </w:pPr>
      <w:r>
        <w:t xml:space="preserve">• </w:t>
      </w:r>
      <w:r>
        <w:t xml:space="preserve">Total compliance spend: $72,000/month (15.0% of revenue)</w:t>
      </w:r>
    </w:p>
    <w:p>
      <w:pPr>
        <w:pStyle w:val="ListBullet"/>
      </w:pPr>
      <w:r>
        <w:t xml:space="preserve">• </w:t>
      </w:r>
      <w:r>
        <w:t xml:space="preserve">Breakdown:</w:t>
      </w:r>
    </w:p>
    <w:p>
      <w:pPr>
        <w:pStyle w:val="ListBullet"/>
      </w:pPr>
      <w:r>
        <w:t xml:space="preserve">• </w:t>
      </w:r>
      <w:r>
        <w:t xml:space="preserve">KYC/AML screening: $18,000 (per-contractor onboarding cost rising)</w:t>
      </w:r>
    </w:p>
    <w:p>
      <w:pPr>
        <w:pStyle w:val="ListBullet"/>
      </w:pPr>
      <w:r>
        <w:t xml:space="preserve">• </w:t>
      </w:r>
      <w:r>
        <w:t xml:space="preserve">Regulatory licensing (multi-country): $22,000</w:t>
      </w:r>
    </w:p>
    <w:p>
      <w:pPr>
        <w:pStyle w:val="ListBullet"/>
      </w:pPr>
      <w:r>
        <w:t xml:space="preserve">• </w:t>
      </w:r>
      <w:r>
        <w:t xml:space="preserve">Legal/advisory (labor law compliance, 4 jurisdictions): $19,000</w:t>
      </w:r>
    </w:p>
    <w:p>
      <w:pPr>
        <w:pStyle w:val="ListBullet"/>
      </w:pPr>
      <w:r>
        <w:t xml:space="preserve">• </w:t>
      </w:r>
      <w:r>
        <w:t xml:space="preserve">Audit and reporting: $13,000</w:t>
      </w:r>
    </w:p>
    <w:p>
      <w:pPr>
        <w:pStyle w:val="ListBullet"/>
      </w:pPr>
      <w:r>
        <w:t xml:space="preserve">• </w:t>
      </w:r>
      <w:r>
        <w:t xml:space="preserve">New Brazil PIX regulation (effective March 2026) expected to add $8K/month</w:t>
      </w:r>
    </w:p>
    <w:p>
      <w:pPr>
        <w:spacing w:after="0" w:line="120" w:lineRule="auto"/>
      </w:pPr>
    </w:p>
    <w:p>
      <w:pPr>
        <w:pStyle w:val="Heading3"/>
      </w:pPr>
      <w:r>
        <w:t xml:space="preserve">Cash &amp; Runway</w:t>
      </w:r>
    </w:p>
    <w:p>
      <w:pPr>
        <w:pStyle w:val="ListBullet"/>
      </w:pPr>
      <w:r>
        <w:t xml:space="preserve">• </w:t>
      </w:r>
      <w:r>
        <w:t xml:space="preserve">Cash on Hand: $2,100,000</w:t>
      </w:r>
    </w:p>
    <w:p>
      <w:pPr>
        <w:pStyle w:val="ListBullet"/>
      </w:pPr>
      <w:r>
        <w:t xml:space="preserve">• </w:t>
      </w:r>
      <w:r>
        <w:t xml:space="preserve">Monthly Burn: $310,000 (net of revenue)</w:t>
      </w:r>
    </w:p>
    <w:p>
      <w:pPr>
        <w:pStyle w:val="ListBullet"/>
      </w:pPr>
      <w:r>
        <w:t xml:space="preserve">• </w:t>
      </w:r>
      <w:r>
        <w:t xml:space="preserve">Gross Burn: $790,000</w:t>
      </w:r>
    </w:p>
    <w:p>
      <w:pPr>
        <w:pStyle w:val="ListBullet"/>
      </w:pPr>
      <w:r>
        <w:t xml:space="preserve">• </w:t>
      </w:r>
      <w:r>
        <w:t xml:space="preserve">Runway: 6.8 months</w:t>
      </w:r>
    </w:p>
    <w:p>
      <w:pPr>
        <w:pStyle w:val="ListBullet"/>
      </w:pPr>
      <w:r>
        <w:t xml:space="preserve">• </w:t>
      </w:r>
      <w:r>
        <w:t xml:space="preserve">Series A timing: Targeting close by June 2026 — must show LTV/CAC &gt; 3.0x</w:t>
      </w:r>
    </w:p>
    <w:p>
      <w:pPr>
        <w:spacing w:after="0" w:line="120" w:lineRule="auto"/>
      </w:pPr>
    </w:p>
    <w:p>
      <w:pPr>
        <w:pStyle w:val="Heading3"/>
      </w:pPr>
      <w:r>
        <w:t xml:space="preserve">Headcount</w:t>
      </w:r>
    </w:p>
    <w:p>
      <w:pPr>
        <w:pStyle w:val="ListBullet"/>
      </w:pPr>
      <w:r>
        <w:t xml:space="preserve">• </w:t>
      </w:r>
      <w:r>
        <w:t xml:space="preserve">Total: 24</w:t>
      </w:r>
    </w:p>
    <w:p>
      <w:pPr>
        <w:pStyle w:val="ListBullet"/>
      </w:pPr>
      <w:r>
        <w:t xml:space="preserve">• </w:t>
      </w:r>
      <w:r>
        <w:t xml:space="preserve">Engineering: 10</w:t>
      </w:r>
    </w:p>
    <w:p>
      <w:pPr>
        <w:pStyle w:val="ListBullet"/>
      </w:pPr>
      <w:r>
        <w:t xml:space="preserve">• </w:t>
      </w:r>
      <w:r>
        <w:t xml:space="preserve">Operations/Compliance: 6</w:t>
      </w:r>
    </w:p>
    <w:p>
      <w:pPr>
        <w:pStyle w:val="ListBullet"/>
      </w:pPr>
      <w:r>
        <w:t xml:space="preserve">• </w:t>
      </w:r>
      <w:r>
        <w:t xml:space="preserve">Sales &amp; Partnerships: 5</w:t>
      </w:r>
    </w:p>
    <w:p>
      <w:pPr>
        <w:pStyle w:val="ListBullet"/>
      </w:pPr>
      <w:r>
        <w:t xml:space="preserve">• </w:t>
      </w:r>
      <w:r>
        <w:t xml:space="preserve">G&amp;A: 3</w:t>
      </w:r>
    </w:p>
    <w:p>
      <w:pPr>
        <w:pStyle w:val="ListBullet"/>
      </w:pPr>
      <w:r>
        <w:t xml:space="preserve">• </w:t>
      </w:r>
      <w:r>
        <w:t xml:space="preserve">Revenue per Employee: $240,000 (annual)</w:t>
      </w:r>
    </w:p>
    <w:p>
      <w:pPr>
        <w:spacing w:after="0" w:line="120" w:lineRule="auto"/>
      </w:pPr>
    </w:p>
    <w:p>
      <w:pPr>
        <w:pStyle w:val="Heading3"/>
      </w:pPr>
      <w:r>
        <w:t xml:space="preserve">Expense Breakdown</w:t>
      </w:r>
    </w:p>
    <w:p>
      <w:pPr>
        <w:pStyle w:val="ListBullet"/>
      </w:pPr>
      <w:r>
        <w:t xml:space="preserve">• </w:t>
      </w:r>
      <w:r>
        <w:t xml:space="preserve">COGS (payment processing, banking, FX): 42% of revenue</w:t>
      </w:r>
    </w:p>
    <w:p>
      <w:pPr>
        <w:pStyle w:val="ListBullet"/>
      </w:pPr>
      <w:r>
        <w:t xml:space="preserve">• </w:t>
      </w:r>
      <w:r>
        <w:t xml:space="preserve">Sales &amp; Marketing: 22% of revenue</w:t>
      </w:r>
    </w:p>
    <w:p>
      <w:pPr>
        <w:pStyle w:val="ListBullet"/>
      </w:pPr>
      <w:r>
        <w:t xml:space="preserve">• </w:t>
      </w:r>
      <w:r>
        <w:t xml:space="preserve">Compliance &amp; Legal: 15% of revenue</w:t>
      </w:r>
    </w:p>
    <w:p>
      <w:pPr>
        <w:pStyle w:val="ListBullet"/>
      </w:pPr>
      <w:r>
        <w:t xml:space="preserve">• </w:t>
      </w:r>
      <w:r>
        <w:t xml:space="preserve">R&amp;D (salaries, infra): 38% of revenue</w:t>
      </w:r>
    </w:p>
    <w:p>
      <w:pPr>
        <w:pStyle w:val="ListBullet"/>
      </w:pPr>
      <w:r>
        <w:t xml:space="preserve">• </w:t>
      </w:r>
      <w:r>
        <w:t xml:space="preserve">G&amp;A: 10% of revenue</w:t>
      </w:r>
    </w:p>
    <w:p>
      <w:pPr>
        <w:pStyle w:val="ListBullet"/>
      </w:pPr>
      <w:r>
        <w:t xml:space="preserve">• </w:t>
      </w:r>
      <w:r>
        <w:t xml:space="preserve">Total Operating Expenses: $790,000/month</w:t>
      </w:r>
    </w:p>
    <w:p>
      <w:pPr>
        <w:spacing w:after="0" w:line="120" w:lineRule="auto"/>
      </w:pPr>
    </w:p>
    <w:p>
      <w:pPr>
        <w:pStyle w:val="Heading3"/>
      </w:pPr>
      <w:r>
        <w:t xml:space="preserve">Key Risks</w:t>
      </w:r>
    </w:p>
    <w:p>
      <w:pPr>
        <w:pStyle w:val="ListBullet"/>
      </w:pPr>
      <w:r>
        <w:t xml:space="preserve">1. </w:t>
      </w:r>
      <w:r>
        <w:t xml:space="preserve">LTV/CAC below 2.5x makes Series A fundraise difficult</w:t>
      </w:r>
    </w:p>
    <w:p>
      <w:pPr>
        <w:pStyle w:val="ListBullet"/>
      </w:pPr>
      <w:r>
        <w:t xml:space="preserve">2. </w:t>
      </w:r>
      <w:r>
        <w:t xml:space="preserve">BRL exposure without full hedge creates revenue volatility</w:t>
      </w:r>
    </w:p>
    <w:p>
      <w:pPr>
        <w:pStyle w:val="ListBullet"/>
      </w:pPr>
      <w:r>
        <w:t xml:space="preserve">3. </w:t>
      </w:r>
      <w:r>
        <w:t xml:space="preserve">Regulatory changes in Brazil and Colombia could increase compliance costs 15-20%</w:t>
      </w:r>
    </w:p>
    <w:p>
      <w:pPr>
        <w:pStyle w:val="ListBullet"/>
      </w:pPr>
      <w:r>
        <w:t xml:space="preserve">4. </w:t>
      </w:r>
      <w:r>
        <w:t xml:space="preserve">High churn rate masks underlying growth — gross adds are strong but net retention is weak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