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GreenGrid - Series A Pitch Deck</w:t>
      </w:r>
    </w:p>
    <w:p>
      <w:pPr>
        <w:pStyle w:val="Heading2"/>
      </w:pPr>
      <w:r>
        <w:t xml:space="preserve">Making Carbon Credits Trustworthy and Tradable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1: Title</w:t>
      </w:r>
    </w:p>
    <w:p>
      <w:r>
        <w:rPr>
          <w:b/>
        </w:rPr>
        <w:t xml:space="preserve">GreenGrid</w:t>
      </w:r>
      <w:r>
        <w:t xml:space="preserve"> — Carbon Credit Marketplace with Built-In Verification</w:t>
      </w:r>
    </w:p>
    <w:p>
      <w:r>
        <w:t xml:space="preserve">Series A Fundraise: $18M at $72M pre-money valuation</w:t>
      </w:r>
    </w:p>
    <w:p>
      <w:r>
        <w:t xml:space="preserve">Founded 2022 | Denver, CO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2: Problem</w:t>
      </w:r>
    </w:p>
    <w:p>
      <w:pPr>
        <w:pStyle w:val="ListBullet"/>
      </w:pPr>
      <w:r>
        <w:t xml:space="preserve">• </w:t>
      </w:r>
      <w:r>
        <w:t xml:space="preserve">$2B+ in carbon credits have been found to be worthless or double-counted (Guardian/Die Zeit investigation, 2024)</w:t>
      </w:r>
    </w:p>
    <w:p>
      <w:pPr>
        <w:pStyle w:val="ListBullet"/>
      </w:pPr>
      <w:r>
        <w:t xml:space="preserve">• </w:t>
      </w:r>
      <w:r>
        <w:t xml:space="preserve">Corporates have committed $180B in net-zero pledges but lack credible offset procurement channels</w:t>
      </w:r>
    </w:p>
    <w:p>
      <w:pPr>
        <w:pStyle w:val="ListBullet"/>
      </w:pPr>
      <w:r>
        <w:t xml:space="preserve">• </w:t>
      </w:r>
      <w:r>
        <w:t xml:space="preserve">Verification takes 12-18 months and costs $50K-200K per project — blocking small and mid-size developers</w:t>
      </w:r>
    </w:p>
    <w:p>
      <w:pPr>
        <w:pStyle w:val="ListBullet"/>
      </w:pPr>
      <w:r>
        <w:t xml:space="preserve">• </w:t>
      </w:r>
      <w:r>
        <w:t xml:space="preserve">Verra and Gold Standard registries are opaque, slow, and paper-heavy</w:t>
      </w:r>
    </w:p>
    <w:p>
      <w:pPr>
        <w:pStyle w:val="ListBullet"/>
      </w:pPr>
      <w:r>
        <w:t xml:space="preserve">• </w:t>
      </w:r>
      <w:r>
        <w:t xml:space="preserve">Buyers can't differentiate quality: a $3/ton credit and a $45/ton credit look identical on paper</w:t>
      </w:r>
    </w:p>
    <w:p>
      <w:pPr>
        <w:pStyle w:val="ListBullet"/>
      </w:pPr>
      <w:r>
        <w:t xml:space="preserve">• </w:t>
      </w:r>
      <w:r>
        <w:t xml:space="preserve">Result: corporate buyers are paralyzed. 62% have frozen voluntary offset purchases pending better quality assurance (McKinsey Carbon Survey 2025)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3: Solution</w:t>
      </w:r>
    </w:p>
    <w:p>
      <w:r>
        <w:rPr>
          <w:b/>
        </w:rPr>
        <w:t xml:space="preserve">GreenGrid</w:t>
      </w:r>
      <w:r>
        <w:t xml:space="preserve"> is a marketplace for verified carbon credits with end-to-end quality assurance:</w:t>
      </w:r>
    </w:p>
    <w:p>
      <w:pPr>
        <w:pStyle w:val="ListBullet"/>
      </w:pPr>
      <w:r>
        <w:t xml:space="preserve">• </w:t>
      </w:r>
      <w:r>
        <w:rPr>
          <w:b/>
        </w:rPr>
        <w:t xml:space="preserve">AI-Powered Verification</w:t>
      </w:r>
      <w:r>
        <w:t xml:space="preserve">: Satellite imagery + ML models verify project additionality and permanence in weeks, not months</w:t>
      </w:r>
    </w:p>
    <w:p>
      <w:pPr>
        <w:pStyle w:val="ListBullet"/>
      </w:pPr>
      <w:r>
        <w:t xml:space="preserve">• </w:t>
      </w:r>
      <w:r>
        <w:rPr>
          <w:b/>
        </w:rPr>
        <w:t xml:space="preserve">Quality Score</w:t>
      </w:r>
      <w:r>
        <w:t xml:space="preserve">: Proprietary 0-100 rating for every credit, combining 38 data signals</w:t>
      </w:r>
    </w:p>
    <w:p>
      <w:pPr>
        <w:pStyle w:val="ListBullet"/>
      </w:pPr>
      <w:r>
        <w:t xml:space="preserve">• </w:t>
      </w:r>
      <w:r>
        <w:rPr>
          <w:b/>
        </w:rPr>
        <w:t xml:space="preserve">Marketplace</w:t>
      </w:r>
      <w:r>
        <w:t xml:space="preserve">: Corporates browse, compare, and purchase verified credits with full provenance</w:t>
      </w:r>
    </w:p>
    <w:p>
      <w:pPr>
        <w:pStyle w:val="ListBullet"/>
      </w:pPr>
      <w:r>
        <w:t xml:space="preserve">• </w:t>
      </w:r>
      <w:r>
        <w:rPr>
          <w:b/>
        </w:rPr>
        <w:t xml:space="preserve">Retirement Registry</w:t>
      </w:r>
      <w:r>
        <w:t xml:space="preserve">: Blockchain-anchored retirement tracking eliminates double-counting</w:t>
      </w:r>
    </w:p>
    <w:p>
      <w:pPr>
        <w:pStyle w:val="ListBullet"/>
      </w:pPr>
      <w:r>
        <w:t xml:space="preserve">• </w:t>
      </w:r>
      <w:r>
        <w:rPr>
          <w:b/>
        </w:rPr>
        <w:t xml:space="preserve">Monitoring</w:t>
      </w:r>
      <w:r>
        <w:t xml:space="preserve">: Continuous satellite monitoring of active projects (not just at issuance)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4: Why Now</w:t>
      </w:r>
    </w:p>
    <w:p>
      <w:pPr>
        <w:pStyle w:val="ListBullet"/>
      </w:pPr>
      <w:r>
        <w:t xml:space="preserve">• </w:t>
      </w:r>
      <w:r>
        <w:t xml:space="preserve">EU Carbon Border Adjustment Mechanism (CBAM) taking effect 2026 — corporates must account for embedded carbon</w:t>
      </w:r>
    </w:p>
    <w:p>
      <w:pPr>
        <w:pStyle w:val="ListBullet"/>
      </w:pPr>
      <w:r>
        <w:t xml:space="preserve">• </w:t>
      </w:r>
      <w:r>
        <w:t xml:space="preserve">SEC climate disclosure rules finalized in 2025 — offset quality now a board-level concern</w:t>
      </w:r>
    </w:p>
    <w:p>
      <w:pPr>
        <w:pStyle w:val="ListBullet"/>
      </w:pPr>
      <w:r>
        <w:t xml:space="preserve">• </w:t>
      </w:r>
      <w:r>
        <w:t xml:space="preserve">Satellite resolution hit 30cm in commercial imagery — enables plot-level forest verification</w:t>
      </w:r>
    </w:p>
    <w:p>
      <w:pPr>
        <w:pStyle w:val="ListBullet"/>
      </w:pPr>
      <w:r>
        <w:t xml:space="preserve">• </w:t>
      </w:r>
      <w:r>
        <w:t xml:space="preserve">Voluntary carbon market contracted 18% in 2024 due to trust crisis — the shakeout is clearing space for quality-focused platforms</w:t>
      </w:r>
    </w:p>
    <w:p>
      <w:pPr>
        <w:pStyle w:val="ListBullet"/>
      </w:pPr>
      <w:r>
        <w:t xml:space="preserve">• </w:t>
      </w:r>
      <w:r>
        <w:t xml:space="preserve">Science Based Targets initiative (SBTi) updated guidance in 2025 to allow high-quality offsets in Scope 3 — this reopened the market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5: Market Size</w:t>
      </w:r>
    </w:p>
    <w:p>
      <w:pPr>
        <w:pStyle w:val="ListBullet"/>
      </w:pPr>
      <w:r>
        <w:t xml:space="preserve">• </w:t>
      </w:r>
      <w:r>
        <w:rPr>
          <w:b/>
        </w:rPr>
        <w:t xml:space="preserve">TAM</w:t>
      </w:r>
      <w:r>
        <w:t xml:space="preserve">: $100B — Total addressable carbon credit market by 2030 (BloombergNEF estimate at $50/ton average)</w:t>
      </w:r>
    </w:p>
    <w:p>
      <w:pPr>
        <w:pStyle w:val="ListBullet"/>
      </w:pPr>
      <w:r>
        <w:t xml:space="preserve">• </w:t>
      </w:r>
      <w:r>
        <w:rPr>
          <w:b/>
        </w:rPr>
        <w:t xml:space="preserve">SAM</w:t>
      </w:r>
      <w:r>
        <w:t xml:space="preserve">: $28B — Voluntary carbon market for corporate buyers in US, EU, and UK</w:t>
      </w:r>
    </w:p>
    <w:p>
      <w:pPr>
        <w:pStyle w:val="ListBullet"/>
      </w:pPr>
      <w:r>
        <w:t xml:space="preserve">• </w:t>
      </w:r>
      <w:r>
        <w:rPr>
          <w:b/>
        </w:rPr>
        <w:t xml:space="preserve">SOM</w:t>
      </w:r>
      <w:r>
        <w:t xml:space="preserve">: $3.4B — Verified high-quality credits for corporates with net-zero commitments</w:t>
      </w:r>
    </w:p>
    <w:p>
      <w:pPr>
        <w:pStyle w:val="ListBullet"/>
      </w:pPr>
      <w:r>
        <w:t xml:space="preserve">• </w:t>
      </w:r>
      <w:r>
        <w:t xml:space="preserve">Note: market is currently $2B and contracted in 2024. We believe the trust crisis is temporary and quality-verified credits will drive recovery. If the VCM grows at even half of projected rates, our SOM is conservative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6: Product</w:t>
      </w:r>
    </w:p>
    <w:p>
      <w:pPr>
        <w:pStyle w:val="ListBullet"/>
      </w:pPr>
      <w:r>
        <w:t xml:space="preserve">• </w:t>
      </w:r>
      <w:r>
        <w:rPr>
          <w:b/>
        </w:rPr>
        <w:t xml:space="preserve">GreenGrid Verify</w:t>
      </w:r>
      <w:r>
        <w:t xml:space="preserve">: Upload project data, satellite coordinates, and documentation. AI assessment delivered in 3-6 weeks (vs. 12-18 months traditional)</w:t>
      </w:r>
    </w:p>
    <w:p>
      <w:pPr>
        <w:pStyle w:val="ListBullet"/>
      </w:pPr>
      <w:r>
        <w:t xml:space="preserve">• </w:t>
      </w:r>
      <w:r>
        <w:rPr>
          <w:b/>
        </w:rPr>
        <w:t xml:space="preserve">GreenGrid Score</w:t>
      </w:r>
      <w:r>
        <w:t xml:space="preserve">: 0-100 quality rating based on: additionality (25%), permanence (25%), measurement rigor (20%), co-benefits (15%), leakage risk (15%)</w:t>
      </w:r>
    </w:p>
    <w:p>
      <w:pPr>
        <w:pStyle w:val="ListBullet"/>
      </w:pPr>
      <w:r>
        <w:t xml:space="preserve">• </w:t>
      </w:r>
      <w:r>
        <w:rPr>
          <w:b/>
        </w:rPr>
        <w:t xml:space="preserve">GreenGrid Market</w:t>
      </w:r>
      <w:r>
        <w:t xml:space="preserve">: Order book for buyers and sellers. Credits listed by project type, geography, vintage, quality score</w:t>
      </w:r>
    </w:p>
    <w:p>
      <w:pPr>
        <w:pStyle w:val="ListBullet"/>
      </w:pPr>
      <w:r>
        <w:t xml:space="preserve">• </w:t>
      </w:r>
      <w:r>
        <w:rPr>
          <w:b/>
        </w:rPr>
        <w:t xml:space="preserve">GreenGrid Track</w:t>
      </w:r>
      <w:r>
        <w:t xml:space="preserve">: Blockchain retirement registry integrated with Verra, Gold Standard, and ACR</w:t>
      </w:r>
    </w:p>
    <w:p>
      <w:pPr>
        <w:pStyle w:val="ListBullet"/>
      </w:pPr>
      <w:r>
        <w:t xml:space="preserve">• </w:t>
      </w:r>
      <w:r>
        <w:rPr>
          <w:b/>
        </w:rPr>
        <w:t xml:space="preserve">GreenGrid Monitor</w:t>
      </w:r>
      <w:r>
        <w:t xml:space="preserve">: Quarterly satellite imagery review of all active forestry and land-use projects</w:t>
      </w:r>
    </w:p>
    <w:p>
      <w:pPr>
        <w:pStyle w:val="ListBullet"/>
      </w:pPr>
      <w:r>
        <w:t xml:space="preserve">• </w:t>
      </w:r>
      <w:r>
        <w:t xml:space="preserve">Project types supported: Forestry/REDD+, renewable energy, methane capture, direct air capture, soil carbon, blue carbon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7: Business Model</w:t>
      </w:r>
    </w:p>
    <w:p>
      <w:pPr>
        <w:pStyle w:val="ListBullet"/>
      </w:pPr>
      <w:r>
        <w:t xml:space="preserve">• </w:t>
      </w:r>
      <w:r>
        <w:rPr>
          <w:b/>
        </w:rPr>
        <w:t xml:space="preserve">Marketplace take rate</w:t>
      </w:r>
      <w:r>
        <w:t xml:space="preserve">: 8.5% of transaction value (buyer side: 5%, seller side: 3.5%)</w:t>
      </w:r>
    </w:p>
    <w:p>
      <w:pPr>
        <w:pStyle w:val="ListBullet"/>
      </w:pPr>
      <w:r>
        <w:t xml:space="preserve">• </w:t>
      </w:r>
      <w:r>
        <w:rPr>
          <w:b/>
        </w:rPr>
        <w:t xml:space="preserve">Verification fees</w:t>
      </w:r>
      <w:r>
        <w:t xml:space="preserve">: $12,000-35,000 per project (one-time, based on complexity)</w:t>
      </w:r>
    </w:p>
    <w:p>
      <w:pPr>
        <w:pStyle w:val="ListBullet"/>
      </w:pPr>
      <w:r>
        <w:t xml:space="preserve">• </w:t>
      </w:r>
      <w:r>
        <w:rPr>
          <w:b/>
        </w:rPr>
        <w:t xml:space="preserve">Monitoring subscription</w:t>
      </w:r>
      <w:r>
        <w:t xml:space="preserve">: $4,800/yr per active project</w:t>
      </w:r>
    </w:p>
    <w:p>
      <w:pPr>
        <w:pStyle w:val="ListBullet"/>
      </w:pPr>
      <w:r>
        <w:t xml:space="preserve">• </w:t>
      </w:r>
      <w:r>
        <w:rPr>
          <w:b/>
        </w:rPr>
        <w:t xml:space="preserve">Premium analytics</w:t>
      </w:r>
      <w:r>
        <w:t xml:space="preserve">: $18,000/yr for portfolio-level carbon accounting dashboards</w:t>
      </w:r>
    </w:p>
    <w:p>
      <w:pPr>
        <w:pStyle w:val="ListBullet"/>
      </w:pPr>
      <w:r>
        <w:t xml:space="preserve">• </w:t>
      </w:r>
      <w:r>
        <w:t xml:space="preserve">2025 revenue breakdown: Marketplace 64%, Verification 22%, Monitoring 9%, Analytics 5%</w:t>
      </w:r>
    </w:p>
    <w:p>
      <w:pPr>
        <w:pStyle w:val="ListBullet"/>
      </w:pPr>
      <w:r>
        <w:t xml:space="preserve">• </w:t>
      </w:r>
      <w:r>
        <w:t xml:space="preserve">Gross margin: 73% on marketplace, 54% on verification (satellite imagery costs), 82% on monitoring/analytics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8: Traction</w:t>
      </w:r>
    </w:p>
    <w:p>
      <w:pPr>
        <w:pStyle w:val="ListBullet"/>
      </w:pPr>
      <w:r>
        <w:t xml:space="preserve">• </w:t>
      </w:r>
      <w:r>
        <w:rPr>
          <w:b/>
        </w:rPr>
        <w:t xml:space="preserve">GMV</w:t>
      </w:r>
      <w:r>
        <w:t xml:space="preserve">: $6.2M in carbon credit transactions (trailing 12 months)</w:t>
      </w:r>
    </w:p>
    <w:p>
      <w:pPr>
        <w:pStyle w:val="ListBullet"/>
      </w:pPr>
      <w:r>
        <w:t xml:space="preserve">• </w:t>
      </w:r>
      <w:r>
        <w:rPr>
          <w:b/>
        </w:rPr>
        <w:t xml:space="preserve">Net revenue</w:t>
      </w:r>
      <w:r>
        <w:t xml:space="preserve">: $1.8M (trailing 12 months, blended across all streams)</w:t>
      </w:r>
    </w:p>
    <w:p>
      <w:pPr>
        <w:pStyle w:val="ListBullet"/>
      </w:pPr>
      <w:r>
        <w:t xml:space="preserve">• </w:t>
      </w:r>
      <w:r>
        <w:rPr>
          <w:b/>
        </w:rPr>
        <w:t xml:space="preserve">Growth</w:t>
      </w:r>
      <w:r>
        <w:t xml:space="preserve">: GMV up from $1.4M in 2024 to $6.2M in 2025 (343% YoY)</w:t>
      </w:r>
    </w:p>
    <w:p>
      <w:pPr>
        <w:pStyle w:val="ListBullet"/>
      </w:pPr>
      <w:r>
        <w:t xml:space="preserve">• </w:t>
      </w:r>
      <w:r>
        <w:rPr>
          <w:b/>
        </w:rPr>
        <w:t xml:space="preserve">Buyers</w:t>
      </w:r>
      <w:r>
        <w:t xml:space="preserve">: 89 corporate buyers (incl. 12 Fortune 500 companies)</w:t>
      </w:r>
    </w:p>
    <w:p>
      <w:pPr>
        <w:pStyle w:val="ListBullet"/>
      </w:pPr>
      <w:r>
        <w:t xml:space="preserve">• </w:t>
      </w:r>
      <w:r>
        <w:rPr>
          <w:b/>
        </w:rPr>
        <w:t xml:space="preserve">Projects listed</w:t>
      </w:r>
      <w:r>
        <w:t xml:space="preserve">: 214 verified projects across 31 countries</w:t>
      </w:r>
    </w:p>
    <w:p>
      <w:pPr>
        <w:pStyle w:val="ListBullet"/>
      </w:pPr>
      <w:r>
        <w:t xml:space="preserve">• </w:t>
      </w:r>
      <w:r>
        <w:rPr>
          <w:b/>
        </w:rPr>
        <w:t xml:space="preserve">Credits transacted</w:t>
      </w:r>
      <w:r>
        <w:t xml:space="preserve">: 1.38M tons CO2e</w:t>
      </w:r>
    </w:p>
    <w:p>
      <w:pPr>
        <w:pStyle w:val="ListBullet"/>
      </w:pPr>
      <w:r>
        <w:t xml:space="preserve">• </w:t>
      </w:r>
      <w:r>
        <w:rPr>
          <w:b/>
        </w:rPr>
        <w:t xml:space="preserve">Average transaction size</w:t>
      </w:r>
      <w:r>
        <w:t xml:space="preserve">: $22.40/ton (vs. market average of $8.70) — our credits command a premium because of verified quality</w:t>
      </w:r>
    </w:p>
    <w:p>
      <w:pPr>
        <w:pStyle w:val="ListBullet"/>
      </w:pPr>
      <w:r>
        <w:t xml:space="preserve">• </w:t>
      </w:r>
      <w:r>
        <w:rPr>
          <w:b/>
        </w:rPr>
        <w:t xml:space="preserve">Repeat purchase rate</w:t>
      </w:r>
      <w:r>
        <w:t xml:space="preserve">: 67% of buyers return within 6 months</w:t>
      </w:r>
    </w:p>
    <w:p>
      <w:pPr>
        <w:pStyle w:val="ListBullet"/>
      </w:pPr>
      <w:r>
        <w:t xml:space="preserve">• </w:t>
      </w:r>
      <w:r>
        <w:rPr>
          <w:b/>
        </w:rPr>
        <w:t xml:space="preserve">Verification pipeline</w:t>
      </w:r>
      <w:r>
        <w:t xml:space="preserve">: 78 projects awaiting assessment ($45M potential GMV)</w:t>
      </w:r>
    </w:p>
    <w:p>
      <w:pPr>
        <w:pStyle w:val="ListBullet"/>
      </w:pPr>
      <w:r>
        <w:t xml:space="preserve">• </w:t>
      </w:r>
      <w:r>
        <w:rPr>
          <w:b/>
        </w:rPr>
        <w:t xml:space="preserve">MARKET RISK</w:t>
      </w:r>
      <w:r>
        <w:t xml:space="preserve">: Voluntary carbon market (VCM) shrank 18% in 2024. Our segment (high-quality verified) grew 12%, but overall market headwinds are real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9: Competition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Feature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GreenGrid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Xpansiv/CBL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Pachama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Sylvera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South Pole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Marketplace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AI Verification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 (forestry only)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 (rating only)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Quality Score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 (0-100)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 (A-D)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Multi-Project Type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 (6 types)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 (forestry only)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 (rating)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Blockchain Registry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Continuous Monitoring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Partial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Avg Credit Price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$22.40/ton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$5.20/ton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N/A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N/A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$12/ton</w:t>
            </w:r>
          </w:p>
        </w:tc>
      </w:tr>
    </w:tbl>
    <w:p>
      <w:pPr>
        <w:spacing w:after="0" w:line="120" w:lineRule="auto"/>
      </w:pPr>
    </w:p>
    <w:p>
      <w:r>
        <w:t xml:space="preserve">Pachama and Sylvera are closest competitors; Pachama is forestry-only, Sylvera rates but doesn't transact. We're the only platform combining marketplace, verification, and monitoring.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10: Team</w:t>
      </w:r>
    </w:p>
    <w:p>
      <w:pPr>
        <w:pStyle w:val="ListBullet"/>
      </w:pPr>
      <w:r>
        <w:t xml:space="preserve">• </w:t>
      </w:r>
      <w:r>
        <w:rPr>
          <w:b/>
        </w:rPr>
        <w:t xml:space="preserve">CEO/Co-founder</w:t>
      </w:r>
      <w:r>
        <w:t xml:space="preserve">: Emma Aldridge — Ex-Director of Carbon Markets at BP (2016-2022). Led $200M/yr offset procurement. MSc Environmental Economics, LSE</w:t>
      </w:r>
    </w:p>
    <w:p>
      <w:pPr>
        <w:pStyle w:val="ListBullet"/>
      </w:pPr>
      <w:r>
        <w:t xml:space="preserve">• </w:t>
      </w:r>
      <w:r>
        <w:rPr>
          <w:b/>
        </w:rPr>
        <w:t xml:space="preserve">CTO/Co-founder</w:t>
      </w:r>
      <w:r>
        <w:t xml:space="preserve">: Dr. Kai Zhang — Ex-Research Scientist at Planet Labs (satellite imagery ML). PhD Remote Sensing, Stanford. Published 14 papers on forest carbon estimation</w:t>
      </w:r>
    </w:p>
    <w:p>
      <w:pPr>
        <w:pStyle w:val="ListBullet"/>
      </w:pPr>
      <w:r>
        <w:t xml:space="preserve">• </w:t>
      </w:r>
      <w:r>
        <w:rPr>
          <w:b/>
        </w:rPr>
        <w:t xml:space="preserve">VP Marketplace</w:t>
      </w:r>
      <w:r>
        <w:t xml:space="preserve">: Andre Oliveira — Ex-Head of Trading at Xpansiv/CBL. 9 years in carbon credit trading</w:t>
      </w:r>
    </w:p>
    <w:p>
      <w:pPr>
        <w:pStyle w:val="ListBullet"/>
      </w:pPr>
      <w:r>
        <w:t xml:space="preserve">• </w:t>
      </w:r>
      <w:r>
        <w:rPr>
          <w:b/>
        </w:rPr>
        <w:t xml:space="preserve">Head of Verification</w:t>
      </w:r>
      <w:r>
        <w:t xml:space="preserve">: Dr. Miriam Osei — Ex-Lead Auditor at Verra. PhD Ecology, Yale. Led verification of 400+ projects</w:t>
      </w:r>
    </w:p>
    <w:p>
      <w:pPr>
        <w:pStyle w:val="ListBullet"/>
      </w:pPr>
      <w:r>
        <w:t xml:space="preserve">• </w:t>
      </w:r>
      <w:r>
        <w:rPr>
          <w:b/>
        </w:rPr>
        <w:t xml:space="preserve">VP Sales</w:t>
      </w:r>
      <w:r>
        <w:t xml:space="preserve">: Rebecca Stern — Ex-Enterprise Sales Director at Persefoni (carbon accounting SaaS). Closed $8M in ACV</w:t>
      </w:r>
    </w:p>
    <w:p>
      <w:pPr>
        <w:pStyle w:val="ListBullet"/>
      </w:pPr>
      <w:r>
        <w:t xml:space="preserve">• </w:t>
      </w:r>
      <w:r>
        <w:t xml:space="preserve">34 employees: 14 engineering, 6 verification/science, 5 sales, 4 marketplace ops, 3 product, 2 G&amp;A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11: Financials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1285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Metric</w:t>
            </w:r>
          </w:p>
        </w:tc>
        <w:tc>
          <w:tcPr>
            <w:tcW w:w="1285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2023A</w:t>
            </w:r>
          </w:p>
        </w:tc>
        <w:tc>
          <w:tcPr>
            <w:tcW w:w="1285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2024A</w:t>
            </w:r>
          </w:p>
        </w:tc>
        <w:tc>
          <w:tcPr>
            <w:tcW w:w="1285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2025A</w:t>
            </w:r>
          </w:p>
        </w:tc>
        <w:tc>
          <w:tcPr>
            <w:tcW w:w="1285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2026E</w:t>
            </w:r>
          </w:p>
        </w:tc>
        <w:tc>
          <w:tcPr>
            <w:tcW w:w="1285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2027E</w:t>
            </w:r>
          </w:p>
        </w:tc>
        <w:tc>
          <w:tcPr>
            <w:tcW w:w="1285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2028E</w:t>
            </w:r>
          </w:p>
        </w:tc>
      </w:tr>
      <w:tr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GMV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$0.3M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$1.4M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$6.2M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$22M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$65M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$150M</w:t>
            </w:r>
          </w:p>
        </w:tc>
      </w:tr>
      <w:tr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Net Revenue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$0.08M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$0.42M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$1.8M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$6.4M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$18M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$40M</w:t>
            </w:r>
          </w:p>
        </w:tc>
      </w:tr>
      <w:tr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Gross Margin (blended)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58%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64%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69%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72%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74%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76%</w:t>
            </w:r>
          </w:p>
        </w:tc>
      </w:tr>
      <w:tr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Projects Verified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18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67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214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450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800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1,400</w:t>
            </w:r>
          </w:p>
        </w:tc>
      </w:tr>
      <w:tr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Corporate Buyers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11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34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89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220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500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1,000</w:t>
            </w:r>
          </w:p>
        </w:tc>
      </w:tr>
      <w:tr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Burn Rate/mo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$110K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$180K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$310K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$480K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$520K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Breakeven</w:t>
            </w:r>
          </w:p>
        </w:tc>
      </w:tr>
      <w:tr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Cash on Hand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$2.2M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$3.6M*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$2.1M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$19.1M**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$12.7M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$12M</w:t>
            </w:r>
          </w:p>
        </w:tc>
      </w:tr>
    </w:tbl>
    <w:p>
      <w:pPr>
        <w:spacing w:after="0" w:line="120" w:lineRule="auto"/>
      </w:pPr>
    </w:p>
    <w:p>
      <w:r>
        <w:t xml:space="preserve">*Includes $2.5M pre-seed</w:t>
      </w:r>
    </w:p>
    <w:p>
      <w:r>
        <w:t xml:space="preserve">*</w:t>
      </w:r>
      <w:r>
        <w:t xml:space="preserve">*Includes $18M Series A proceeds</w:t>
      </w:r>
    </w:p>
    <w:p>
      <w:pPr>
        <w:spacing w:after="0" w:line="120" w:lineRule="auto"/>
      </w:pPr>
    </w:p>
    <w:p>
      <w:r>
        <w:t xml:space="preserve">Current cash position ($2.1M) gives us ~7 months runway. We are actively closing this round.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12: The Ask</w:t>
      </w:r>
    </w:p>
    <w:p>
      <w:pPr>
        <w:pStyle w:val="ListBullet"/>
      </w:pPr>
      <w:r>
        <w:t xml:space="preserve">• </w:t>
      </w:r>
      <w:r>
        <w:rPr>
          <w:b/>
        </w:rPr>
        <w:t xml:space="preserve">Raising</w:t>
      </w:r>
      <w:r>
        <w:t xml:space="preserve">: $18 million Series A</w:t>
      </w:r>
    </w:p>
    <w:p>
      <w:pPr>
        <w:pStyle w:val="ListBullet"/>
      </w:pPr>
      <w:r>
        <w:t xml:space="preserve">• </w:t>
      </w:r>
      <w:r>
        <w:rPr>
          <w:b/>
        </w:rPr>
        <w:t xml:space="preserve">Pre-money valuation</w:t>
      </w:r>
      <w:r>
        <w:t xml:space="preserve">: $72 million (40x trailing revenue — justified by marketplace GMV trajectory and regulatory tailwinds)</w:t>
      </w:r>
    </w:p>
    <w:p>
      <w:pPr>
        <w:pStyle w:val="ListBullet"/>
      </w:pPr>
      <w:r>
        <w:t xml:space="preserve">• </w:t>
      </w:r>
      <w:r>
        <w:rPr>
          <w:b/>
        </w:rPr>
        <w:t xml:space="preserve">Use of funds</w:t>
      </w:r>
      <w:r>
        <w:t xml:space="preserve">:</w:t>
      </w:r>
    </w:p>
    <w:p>
      <w:pPr>
        <w:pStyle w:val="ListBullet"/>
      </w:pPr>
      <w:r>
        <w:t xml:space="preserve">• </w:t>
      </w:r>
      <w:r>
        <w:t xml:space="preserve">35% — Engineering (scale AI verification, build DAC and blue carbon models)</w:t>
      </w:r>
    </w:p>
    <w:p>
      <w:pPr>
        <w:pStyle w:val="ListBullet"/>
      </w:pPr>
      <w:r>
        <w:t xml:space="preserve">• </w:t>
      </w:r>
      <w:r>
        <w:t xml:space="preserve">25% — Sales (enterprise sales team, target Fortune 500 sustainability offices)</w:t>
      </w:r>
    </w:p>
    <w:p>
      <w:pPr>
        <w:pStyle w:val="ListBullet"/>
      </w:pPr>
      <w:r>
        <w:t xml:space="preserve">• </w:t>
      </w:r>
      <w:r>
        <w:t xml:space="preserve">20% — Verification science (hire 8 additional verification scientists)</w:t>
      </w:r>
    </w:p>
    <w:p>
      <w:pPr>
        <w:pStyle w:val="ListBullet"/>
      </w:pPr>
      <w:r>
        <w:t xml:space="preserve">• </w:t>
      </w:r>
      <w:r>
        <w:t xml:space="preserve">10% — Marketplace ops (liquidity programs, market maker partnerships)</w:t>
      </w:r>
    </w:p>
    <w:p>
      <w:pPr>
        <w:pStyle w:val="ListBullet"/>
      </w:pPr>
      <w:r>
        <w:t xml:space="preserve">• </w:t>
      </w:r>
      <w:r>
        <w:t xml:space="preserve">10% — International expansion (EU office for CBAM compliance demand)</w:t>
      </w:r>
    </w:p>
    <w:p>
      <w:pPr>
        <w:pStyle w:val="ListBullet"/>
      </w:pPr>
      <w:r>
        <w:t xml:space="preserve">• </w:t>
      </w:r>
      <w:r>
        <w:rPr>
          <w:b/>
        </w:rPr>
        <w:t xml:space="preserve">18-month milestones</w:t>
      </w:r>
      <w:r>
        <w:t xml:space="preserve">: $20M+ GMV run rate, 400+ verified projects, 200+ corporate buyers, EU regulatory compliance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13: Risks and Honest Assessment</w:t>
      </w:r>
    </w:p>
    <w:p>
      <w:pPr>
        <w:pStyle w:val="ListBullet"/>
      </w:pPr>
      <w:r>
        <w:t xml:space="preserve">• </w:t>
      </w:r>
      <w:r>
        <w:rPr>
          <w:b/>
        </w:rPr>
        <w:t xml:space="preserve">Market risk</w:t>
      </w:r>
      <w:r>
        <w:t xml:space="preserve">: VCM could continue contracting. Our counter-thesis: quality-verified credits are counter-cyclical within the market — as junk credits get purged, verified credits gain share. But we acknowledge this thesis is unproven at scale</w:t>
      </w:r>
    </w:p>
    <w:p>
      <w:pPr>
        <w:pStyle w:val="ListBullet"/>
      </w:pPr>
      <w:r>
        <w:t xml:space="preserve">• </w:t>
      </w:r>
      <w:r>
        <w:rPr>
          <w:b/>
        </w:rPr>
        <w:t xml:space="preserve">Regulatory uncertainty</w:t>
      </w:r>
      <w:r>
        <w:t xml:space="preserve">: Carbon credit frameworks vary by jurisdiction and are evolving. Article 6 of the Paris Agreement is still being implemented. Changes could help or hurt</w:t>
      </w:r>
    </w:p>
    <w:p>
      <w:pPr>
        <w:pStyle w:val="ListBullet"/>
      </w:pPr>
      <w:r>
        <w:t xml:space="preserve">• </w:t>
      </w:r>
      <w:r>
        <w:rPr>
          <w:b/>
        </w:rPr>
        <w:t xml:space="preserve">Verification accuracy</w:t>
      </w:r>
      <w:r>
        <w:t xml:space="preserve">: Our AI models have 91% agreement with human auditors on quality scoring. That 9% gap matters — one high-profile false positive could damage trust. We maintain human-in-the-loop for all projects scoring 40-60 (the gray zone)</w:t>
      </w:r>
    </w:p>
    <w:p>
      <w:pPr>
        <w:pStyle w:val="ListBullet"/>
      </w:pPr>
      <w:r>
        <w:t xml:space="preserve">• </w:t>
      </w:r>
      <w:r>
        <w:rPr>
          <w:b/>
        </w:rPr>
        <w:t xml:space="preserve">Valuation justification</w:t>
      </w:r>
      <w:r>
        <w:t xml:space="preserve">: 40x revenue is high. We believe this is justified by (a) 343% revenue growth, (b) $45M verification pipeline, and (c) regulatory tailwinds. But we're transparent that this multiple assumes continued market expansion</w:t>
      </w:r>
    </w:p>
    <w:p>
      <w:pPr>
        <w:pStyle w:val="ListBullet"/>
      </w:pPr>
      <w:r>
        <w:t xml:space="preserve">• </w:t>
      </w:r>
      <w:r>
        <w:rPr>
          <w:b/>
        </w:rPr>
        <w:t xml:space="preserve">Carbon price volatility</w:t>
      </w:r>
      <w:r>
        <w:t xml:space="preserve">: EU ETS and voluntary market prices can swing 30%+ in a quarter. We don't take principal risk (marketplace model) but our GMV is directly exposed</w:t>
      </w:r>
    </w:p>
    <w:p>
      <w:pPr>
        <w:spacing w:after="0" w:line="120" w:lineRule="auto"/>
      </w:pP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Normal">
    <w:name w:val="Normal"/>
    <w:qFormat/>
  </w:style>
  <w:style w:type="paragraph" w:styleId="Heading1">
    <w:name w:val="heading 1"/>
    <w:qFormat/>
    <w:pPr>
      <w:spacing w:before="360" w:after="120"/>
    </w:pPr>
    <w:rPr>
      <w:rFonts w:ascii="Calibri" w:hAnsi="Calibri"/>
      <w:b/>
      <w:color w:val="1F3864"/>
      <w:sz w:val="36"/>
      <w:szCs w:val="36"/>
    </w:rPr>
  </w:style>
  <w:style w:type="paragraph" w:styleId="Heading2">
    <w:name w:val="heading 2"/>
    <w:qFormat/>
    <w:pPr>
      <w:spacing w:before="240" w:after="80"/>
    </w:pPr>
    <w:rPr>
      <w:rFonts w:ascii="Calibri" w:hAnsi="Calibri"/>
      <w:b/>
      <w:color w:val="2E75B6"/>
      <w:sz w:val="28"/>
      <w:szCs w:val="28"/>
    </w:rPr>
  </w:style>
  <w:style w:type="paragraph" w:styleId="Heading3">
    <w:name w:val="heading 3"/>
    <w:qFormat/>
    <w:pPr>
      <w:spacing w:before="200" w:after="60"/>
    </w:pPr>
    <w:rPr>
      <w:rFonts w:ascii="Calibri" w:hAnsi="Calibri"/>
      <w:b/>
      <w:color w:val="404040"/>
      <w:sz w:val="24"/>
      <w:szCs w:val="24"/>
    </w:rPr>
  </w:style>
  <w:style w:type="paragraph" w:styleId="ListBullet">
    <w:name w:val="List Bullet"/>
    <w:pPr>
      <w:ind w:left="720" w:hanging="360"/>
      <w:spacing w:after="60"/>
    </w:pPr>
  </w:style>
  <w:style w:type="paragraph" w:styleId="HorizontalRule">
    <w:name w:val="Horizontal Rule"/>
    <w:pPr>
      <w:pBdr>
        <w:bottom w:val="single" w:sz="6" w:space="1" w:color="CCCCCC"/>
      </w:pBdr>
      <w:spacing w:before="120" w:after="120"/>
    </w:pPr>
    <w:rPr>
      <w:sz w:val="4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