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MedScribe AI - Series B Pitch Deck</w:t>
      </w:r>
    </w:p>
    <w:p>
      <w:pPr>
        <w:pStyle w:val="Heading2"/>
      </w:pPr>
      <w:r>
        <w:t xml:space="preserve">The AI Scribe That Gives Clinicians Their Time Back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1: Title</w:t>
      </w:r>
    </w:p>
    <w:p>
      <w:r>
        <w:rPr>
          <w:b/>
        </w:rPr>
        <w:t xml:space="preserve">MedScribe AI</w:t>
      </w:r>
      <w:r>
        <w:t xml:space="preserve"> — AI Clinical Documentation for Hospitals and Health Systems</w:t>
      </w:r>
    </w:p>
    <w:p>
      <w:r>
        <w:t xml:space="preserve">Series B Fundraise: $45M at $350M pre-money valuation</w:t>
      </w:r>
    </w:p>
    <w:p>
      <w:r>
        <w:t xml:space="preserve">Founded 2021 | Boston, MA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2: The Crisis</w:t>
      </w:r>
    </w:p>
    <w:p>
      <w:pPr>
        <w:pStyle w:val="ListBullet"/>
      </w:pPr>
      <w:r>
        <w:t xml:space="preserve">• </w:t>
      </w:r>
      <w:r>
        <w:t xml:space="preserve">Physicians spend 2 hours on documentation for every 1 hour of patient care (AMA 2025 survey)</w:t>
      </w:r>
    </w:p>
    <w:p>
      <w:pPr>
        <w:pStyle w:val="ListBullet"/>
      </w:pPr>
      <w:r>
        <w:t xml:space="preserve">• </w:t>
      </w:r>
      <w:r>
        <w:t xml:space="preserve">Clinical burnout has reached 63% — documentation burden is the #1 cited cause</w:t>
      </w:r>
    </w:p>
    <w:p>
      <w:pPr>
        <w:pStyle w:val="ListBullet"/>
      </w:pPr>
      <w:r>
        <w:t xml:space="preserve">• </w:t>
      </w:r>
      <w:r>
        <w:t xml:space="preserve">Medical scribes cost $36-45/hr and have 78% annual turnover</w:t>
      </w:r>
    </w:p>
    <w:p>
      <w:pPr>
        <w:pStyle w:val="ListBullet"/>
      </w:pPr>
      <w:r>
        <w:t xml:space="preserve">• </w:t>
      </w:r>
      <w:r>
        <w:t xml:space="preserve">EHR documentation errors contribute to 250,000 adverse events annually (Johns Hopkins)</w:t>
      </w:r>
    </w:p>
    <w:p>
      <w:pPr>
        <w:pStyle w:val="ListBullet"/>
      </w:pPr>
      <w:r>
        <w:t xml:space="preserve">• </w:t>
      </w:r>
      <w:r>
        <w:t xml:space="preserve">Health systems lose $150K+ per physician annually to documentation overhead and burnout-driven attrition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3: Solution</w:t>
      </w:r>
    </w:p>
    <w:p>
      <w:r>
        <w:rPr>
          <w:b/>
        </w:rPr>
        <w:t xml:space="preserve">MedScribe AI</w:t>
      </w:r>
      <w:r>
        <w:t xml:space="preserve"> is an ambient AI scribe that listens to patient encounters and generates:</w:t>
      </w:r>
    </w:p>
    <w:p>
      <w:pPr>
        <w:pStyle w:val="ListBullet"/>
      </w:pPr>
      <w:r>
        <w:t xml:space="preserve">• </w:t>
      </w:r>
      <w:r>
        <w:t xml:space="preserve">SOAP notes, H&amp;P documentation, and procedure notes in real-time</w:t>
      </w:r>
    </w:p>
    <w:p>
      <w:pPr>
        <w:pStyle w:val="ListBullet"/>
      </w:pPr>
      <w:r>
        <w:t xml:space="preserve">• </w:t>
      </w:r>
      <w:r>
        <w:t xml:space="preserve">Structured data fields for EHR auto-population (Epic, Cerner, Meditech, athenahealth)</w:t>
      </w:r>
    </w:p>
    <w:p>
      <w:pPr>
        <w:pStyle w:val="ListBullet"/>
      </w:pPr>
      <w:r>
        <w:t xml:space="preserve">• </w:t>
      </w:r>
      <w:r>
        <w:t xml:space="preserve">ICD-10 and CPT coding suggestions with 96.7% accuracy</w:t>
      </w:r>
    </w:p>
    <w:p>
      <w:pPr>
        <w:pStyle w:val="ListBullet"/>
      </w:pPr>
      <w:r>
        <w:t xml:space="preserve">• </w:t>
      </w:r>
      <w:r>
        <w:t xml:space="preserve">Patient-facing visit summaries in plain language (12 languages)</w:t>
      </w:r>
    </w:p>
    <w:p>
      <w:pPr>
        <w:pStyle w:val="ListBullet"/>
      </w:pPr>
      <w:r>
        <w:t xml:space="preserve">• </w:t>
      </w:r>
      <w:r>
        <w:t xml:space="preserve">Clinical decision support alerts surfaced during documentation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4: Why Now</w:t>
      </w:r>
    </w:p>
    <w:p>
      <w:pPr>
        <w:pStyle w:val="ListBullet"/>
      </w:pPr>
      <w:r>
        <w:t xml:space="preserve">• </w:t>
      </w:r>
      <w:r>
        <w:t xml:space="preserve">Ambient AI speech recognition hit 97.8% accuracy for medical terminology in 2025 (up from 89% in 2022)</w:t>
      </w:r>
    </w:p>
    <w:p>
      <w:pPr>
        <w:pStyle w:val="ListBullet"/>
      </w:pPr>
      <w:r>
        <w:t xml:space="preserve">• </w:t>
      </w:r>
      <w:r>
        <w:t xml:space="preserve">CMS expanded reimbursement for AI-assisted documentation in October 2025</w:t>
      </w:r>
    </w:p>
    <w:p>
      <w:pPr>
        <w:pStyle w:val="ListBullet"/>
      </w:pPr>
      <w:r>
        <w:t xml:space="preserve">• </w:t>
      </w:r>
      <w:r>
        <w:t xml:space="preserve">Epic and Cerner both opened documentation APIs in 2024 — integration is finally possible</w:t>
      </w:r>
    </w:p>
    <w:p>
      <w:pPr>
        <w:pStyle w:val="ListBullet"/>
      </w:pPr>
      <w:r>
        <w:t xml:space="preserve">• </w:t>
      </w:r>
      <w:r>
        <w:t xml:space="preserve">Hospital systems are desperate: 34% of health systems have standing RFPs for scribe solutions (KLAS 2025)</w:t>
      </w:r>
    </w:p>
    <w:p>
      <w:pPr>
        <w:pStyle w:val="ListBullet"/>
      </w:pPr>
      <w:r>
        <w:t xml:space="preserve">• </w:t>
      </w:r>
      <w:r>
        <w:t xml:space="preserve">FDA issued draft guidance for AI clinical documentation tools in January 2026 — regulatory path is clarifying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5: Market Size</w:t>
      </w:r>
    </w:p>
    <w:p>
      <w:pPr>
        <w:pStyle w:val="ListBullet"/>
      </w:pPr>
      <w:r>
        <w:t xml:space="preserve">• </w:t>
      </w:r>
      <w:r>
        <w:rPr>
          <w:b/>
        </w:rPr>
        <w:t xml:space="preserve">TAM</w:t>
      </w:r>
      <w:r>
        <w:t xml:space="preserve">: $47B — Clinical documentation and coding market (US + EU)</w:t>
      </w:r>
    </w:p>
    <w:p>
      <w:pPr>
        <w:pStyle w:val="ListBullet"/>
      </w:pPr>
      <w:r>
        <w:t xml:space="preserve">• </w:t>
      </w:r>
      <w:r>
        <w:rPr>
          <w:b/>
        </w:rPr>
        <w:t xml:space="preserve">SAM</w:t>
      </w:r>
      <w:r>
        <w:t xml:space="preserve">: $18B — AI-assisted clinical documentation for hospitals and large practices</w:t>
      </w:r>
    </w:p>
    <w:p>
      <w:pPr>
        <w:pStyle w:val="ListBullet"/>
      </w:pPr>
      <w:r>
        <w:t xml:space="preserve">• </w:t>
      </w:r>
      <w:r>
        <w:rPr>
          <w:b/>
        </w:rPr>
        <w:t xml:space="preserve">SOM</w:t>
      </w:r>
      <w:r>
        <w:t xml:space="preserve">: $4.2B — Acute care hospitals and multi-specialty groups (100+ physicians)</w:t>
      </w:r>
    </w:p>
    <w:p>
      <w:pPr>
        <w:pStyle w:val="ListBullet"/>
      </w:pPr>
      <w:r>
        <w:t xml:space="preserve">• </w:t>
      </w:r>
      <w:r>
        <w:t xml:space="preserve">Growing at 38% CAGR — fastest-growing segment in health IT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6: Product Deep Dive</w:t>
      </w:r>
    </w:p>
    <w:p>
      <w:pPr>
        <w:pStyle w:val="ListBullet"/>
      </w:pPr>
      <w:r>
        <w:t xml:space="preserve">• </w:t>
      </w:r>
      <w:r>
        <w:rPr>
          <w:b/>
        </w:rPr>
        <w:t xml:space="preserve">Ambient Capture</w:t>
      </w:r>
      <w:r>
        <w:t xml:space="preserve">: Always-on microphone with HIPAA-compliant on-device processing — no audio leaves the exam room</w:t>
      </w:r>
    </w:p>
    <w:p>
      <w:pPr>
        <w:pStyle w:val="ListBullet"/>
      </w:pPr>
      <w:r>
        <w:t xml:space="preserve">• </w:t>
      </w:r>
      <w:r>
        <w:rPr>
          <w:b/>
        </w:rPr>
        <w:t xml:space="preserve">SmartNote Engine</w:t>
      </w:r>
      <w:r>
        <w:t xml:space="preserve">: Generates specialty-specific notes (deployed across 23 medical specialties)</w:t>
      </w:r>
    </w:p>
    <w:p>
      <w:pPr>
        <w:pStyle w:val="ListBullet"/>
      </w:pPr>
      <w:r>
        <w:t xml:space="preserve">• </w:t>
      </w:r>
      <w:r>
        <w:rPr>
          <w:b/>
        </w:rPr>
        <w:t xml:space="preserve">EHR Sync</w:t>
      </w:r>
      <w:r>
        <w:t xml:space="preserve">: Bi-directional integration with Epic (certified), Cerner (certified), athenahealth, Meditech</w:t>
      </w:r>
    </w:p>
    <w:p>
      <w:pPr>
        <w:pStyle w:val="ListBullet"/>
      </w:pPr>
      <w:r>
        <w:t xml:space="preserve">• </w:t>
      </w:r>
      <w:r>
        <w:rPr>
          <w:b/>
        </w:rPr>
        <w:t xml:space="preserve">Coding Copilot</w:t>
      </w:r>
      <w:r>
        <w:t xml:space="preserve">: Suggests ICD-10 and CPT codes; has captured $18.4M in previously missed reimbursement for clients</w:t>
      </w:r>
    </w:p>
    <w:p>
      <w:pPr>
        <w:pStyle w:val="ListBullet"/>
      </w:pPr>
      <w:r>
        <w:t xml:space="preserve">• </w:t>
      </w:r>
      <w:r>
        <w:rPr>
          <w:b/>
        </w:rPr>
        <w:t xml:space="preserve">Quality Module</w:t>
      </w:r>
      <w:r>
        <w:t xml:space="preserve">: Flags documentation gaps that affect quality measures (HEDIS, MIPS)</w:t>
      </w:r>
    </w:p>
    <w:p>
      <w:pPr>
        <w:pStyle w:val="ListBullet"/>
      </w:pPr>
      <w:r>
        <w:t xml:space="preserve">• </w:t>
      </w:r>
      <w:r>
        <w:rPr>
          <w:b/>
        </w:rPr>
        <w:t xml:space="preserve">PENDING</w:t>
      </w:r>
      <w:r>
        <w:t xml:space="preserve">: AI diagnostic suggestion feature awaiting FDA 510(k) clearance (submitted August 2025, expected decision Q3 2026). This feature is NOT included in current revenue projections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7: Business Model</w:t>
      </w:r>
    </w:p>
    <w:p>
      <w:pPr>
        <w:pStyle w:val="ListBullet"/>
      </w:pPr>
      <w:r>
        <w:t xml:space="preserve">• </w:t>
      </w:r>
      <w:r>
        <w:rPr>
          <w:b/>
        </w:rPr>
        <w:t xml:space="preserve">SaaS subscription</w:t>
      </w:r>
      <w:r>
        <w:t xml:space="preserve"> — per-provider-per-month pricing</w:t>
      </w:r>
    </w:p>
    <w:p>
      <w:pPr>
        <w:pStyle w:val="ListBullet"/>
      </w:pPr>
      <w:r>
        <w:t xml:space="preserve">• </w:t>
      </w:r>
      <w:r>
        <w:t xml:space="preserve">Core (ambient scribe + EHR sync): $399/provider/mo</w:t>
      </w:r>
    </w:p>
    <w:p>
      <w:pPr>
        <w:pStyle w:val="ListBullet"/>
      </w:pPr>
      <w:r>
        <w:t xml:space="preserve">• </w:t>
      </w:r>
      <w:r>
        <w:t xml:space="preserve">Professional (+ coding copilot + quality): $649/provider/mo</w:t>
      </w:r>
    </w:p>
    <w:p>
      <w:pPr>
        <w:pStyle w:val="ListBullet"/>
      </w:pPr>
      <w:r>
        <w:t xml:space="preserve">• </w:t>
      </w:r>
      <w:r>
        <w:t xml:space="preserve">Enterprise (+ analytics + custom workflows): $899/provider/mo</w:t>
      </w:r>
    </w:p>
    <w:p>
      <w:pPr>
        <w:pStyle w:val="ListBullet"/>
      </w:pPr>
      <w:r>
        <w:t xml:space="preserve">• </w:t>
      </w:r>
      <w:r>
        <w:t xml:space="preserve">Average revenue per provider: $587/mo ($7,044/yr)</w:t>
      </w:r>
    </w:p>
    <w:p>
      <w:pPr>
        <w:pStyle w:val="ListBullet"/>
      </w:pPr>
      <w:r>
        <w:t xml:space="preserve">• </w:t>
      </w:r>
      <w:r>
        <w:t xml:space="preserve">Average contract size: 24 providers ($169,056 ACV)</w:t>
      </w:r>
    </w:p>
    <w:p>
      <w:pPr>
        <w:pStyle w:val="ListBullet"/>
      </w:pPr>
      <w:r>
        <w:t xml:space="preserve">• </w:t>
      </w:r>
      <w:r>
        <w:t xml:space="preserve">Gross margin: 78% (after cloud compute, medical NLP model costs, and EHR integration maintenance)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8: Traction</w:t>
      </w:r>
    </w:p>
    <w:p>
      <w:pPr>
        <w:pStyle w:val="ListBullet"/>
      </w:pPr>
      <w:r>
        <w:t xml:space="preserve">• </w:t>
      </w:r>
      <w:r>
        <w:rPr>
          <w:b/>
        </w:rPr>
        <w:t xml:space="preserve">ARR</w:t>
      </w:r>
      <w:r>
        <w:t xml:space="preserve">: $28M (as of January 2026)</w:t>
      </w:r>
    </w:p>
    <w:p>
      <w:pPr>
        <w:pStyle w:val="ListBullet"/>
      </w:pPr>
      <w:r>
        <w:t xml:space="preserve">• </w:t>
      </w:r>
      <w:r>
        <w:rPr>
          <w:b/>
        </w:rPr>
        <w:t xml:space="preserve">Growth</w:t>
      </w:r>
      <w:r>
        <w:t xml:space="preserve">: $11.2M ARR in January 2025 -&gt; $28M in January 2026 (150% YoY)</w:t>
      </w:r>
    </w:p>
    <w:p>
      <w:pPr>
        <w:pStyle w:val="ListBullet"/>
      </w:pPr>
      <w:r>
        <w:t xml:space="preserve">• </w:t>
      </w:r>
      <w:r>
        <w:rPr>
          <w:b/>
        </w:rPr>
        <w:t xml:space="preserve">NRR</w:t>
      </w:r>
      <w:r>
        <w:t xml:space="preserve">: 112% — expansion driven by departments adding providers after successful pilots</w:t>
      </w:r>
    </w:p>
    <w:p>
      <w:pPr>
        <w:pStyle w:val="ListBullet"/>
      </w:pPr>
      <w:r>
        <w:t xml:space="preserve">• </w:t>
      </w:r>
      <w:r>
        <w:rPr>
          <w:b/>
        </w:rPr>
        <w:t xml:space="preserve">Customers</w:t>
      </w:r>
      <w:r>
        <w:t xml:space="preserve">: 340 hospital and health system contracts</w:t>
      </w:r>
    </w:p>
    <w:p>
      <w:pPr>
        <w:pStyle w:val="ListBullet"/>
      </w:pPr>
      <w:r>
        <w:t xml:space="preserve">• </w:t>
      </w:r>
      <w:r>
        <w:rPr>
          <w:b/>
        </w:rPr>
        <w:t xml:space="preserve">Providers on platform</w:t>
      </w:r>
      <w:r>
        <w:t xml:space="preserve">: 3,978 active physicians and APPs</w:t>
      </w:r>
    </w:p>
    <w:p>
      <w:pPr>
        <w:pStyle w:val="ListBullet"/>
      </w:pPr>
      <w:r>
        <w:t xml:space="preserve">• </w:t>
      </w:r>
      <w:r>
        <w:rPr>
          <w:b/>
        </w:rPr>
        <w:t xml:space="preserve">Notes generated</w:t>
      </w:r>
      <w:r>
        <w:t xml:space="preserve">: 8.4M+ clinical notes to date</w:t>
      </w:r>
    </w:p>
    <w:p>
      <w:pPr>
        <w:pStyle w:val="ListBullet"/>
      </w:pPr>
      <w:r>
        <w:t xml:space="preserve">• </w:t>
      </w:r>
      <w:r>
        <w:rPr>
          <w:b/>
        </w:rPr>
        <w:t xml:space="preserve">Time saved</w:t>
      </w:r>
      <w:r>
        <w:t xml:space="preserve">: Average of 1.8 hours/provider/day in documentation time</w:t>
      </w:r>
    </w:p>
    <w:p>
      <w:pPr>
        <w:pStyle w:val="ListBullet"/>
      </w:pPr>
      <w:r>
        <w:t xml:space="preserve">• </w:t>
      </w:r>
      <w:r>
        <w:rPr>
          <w:b/>
        </w:rPr>
        <w:t xml:space="preserve">Logo retention</w:t>
      </w:r>
      <w:r>
        <w:t xml:space="preserve">: 96.2% (lost 13 contracts in 2025 — 8 due to health system M&amp;A, 5 competitive)</w:t>
      </w:r>
    </w:p>
    <w:p>
      <w:pPr>
        <w:pStyle w:val="ListBullet"/>
      </w:pPr>
      <w:r>
        <w:t xml:space="preserve">• </w:t>
      </w:r>
      <w:r>
        <w:rPr>
          <w:b/>
        </w:rPr>
        <w:t xml:space="preserve">Pipeline</w:t>
      </w:r>
      <w:r>
        <w:t xml:space="preserve">: $72M qualified (weighted pipeline $31M)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9: Clinical Outcomes</w:t>
      </w:r>
    </w:p>
    <w:p>
      <w:pPr>
        <w:pStyle w:val="ListBullet"/>
      </w:pPr>
      <w:r>
        <w:t xml:space="preserve">• </w:t>
      </w:r>
      <w:r>
        <w:t xml:space="preserve">Documentation completeness improved by 34% (measured by EHR quality scoring)</w:t>
      </w:r>
    </w:p>
    <w:p>
      <w:pPr>
        <w:pStyle w:val="ListBullet"/>
      </w:pPr>
      <w:r>
        <w:t xml:space="preserve">• </w:t>
      </w:r>
      <w:r>
        <w:t xml:space="preserve">Coding accuracy: 96.7% match with certified coder review</w:t>
      </w:r>
    </w:p>
    <w:p>
      <w:pPr>
        <w:pStyle w:val="ListBullet"/>
      </w:pPr>
      <w:r>
        <w:t xml:space="preserve">• </w:t>
      </w:r>
      <w:r>
        <w:t xml:space="preserve">Previously missed charges captured: $18.4M aggregate across client base</w:t>
      </w:r>
    </w:p>
    <w:p>
      <w:pPr>
        <w:pStyle w:val="ListBullet"/>
      </w:pPr>
      <w:r>
        <w:t xml:space="preserve">• </w:t>
      </w:r>
      <w:r>
        <w:t xml:space="preserve">Average provider satisfaction score: 4.6/5.0 (n=2,847)</w:t>
      </w:r>
    </w:p>
    <w:p>
      <w:pPr>
        <w:pStyle w:val="ListBullet"/>
      </w:pPr>
      <w:r>
        <w:t xml:space="preserve">• </w:t>
      </w:r>
      <w:r>
        <w:t xml:space="preserve">Physician burnout scores improved 28% (Maslach Burnout Inventory, pre/post study at 3 health systems)</w:t>
      </w:r>
    </w:p>
    <w:p>
      <w:pPr>
        <w:pStyle w:val="ListBullet"/>
      </w:pPr>
      <w:r>
        <w:t xml:space="preserve">• </w:t>
      </w:r>
      <w:r>
        <w:t xml:space="preserve">Patient satisfaction unchanged (not worse) — Δ = +0.3 points on Press Ganey (not statistically significant)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10: Competition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MedScribe AI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Nuance DAX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Abridge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DeepScribe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Suki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Ambient Capture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(push-to-talk)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Specialty Coverage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18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10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EHR Integration Depth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Deep (bidirectional)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Deep (Epic only)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Moderate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Moderate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Light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Coding Suggestions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On-Device Processing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(cloud)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(cloud)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(cloud)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 (cloud)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Average Contract Size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$169K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$320K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$85K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$95K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$48K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Clients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340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500+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200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300</w:t>
            </w:r>
          </w:p>
        </w:tc>
      </w:tr>
    </w:tbl>
    <w:p>
      <w:pPr>
        <w:spacing w:after="0" w:line="120" w:lineRule="auto"/>
      </w:pPr>
    </w:p>
    <w:p>
      <w:r>
        <w:t xml:space="preserve">Nuance DAX (Microsoft) is the incumbent; we differentiate on multi-EHR support, on-device privacy, and specialty depth. Their Epic-only deep integration is a moat for Epic shops but a limitation everywhere else.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11: Team</w:t>
      </w:r>
    </w:p>
    <w:p>
      <w:pPr>
        <w:pStyle w:val="ListBullet"/>
      </w:pPr>
      <w:r>
        <w:t xml:space="preserve">• </w:t>
      </w:r>
      <w:r>
        <w:rPr>
          <w:b/>
        </w:rPr>
        <w:t xml:space="preserve">CEO</w:t>
      </w:r>
      <w:r>
        <w:t xml:space="preserve">: Dr. Jonathan Whitfield — Practicing internist (part-time at MGH). Previously Chief Medical Informatics Officer at Partners HealthCare. MD Harvard Medical School, MBA HBS</w:t>
      </w:r>
    </w:p>
    <w:p>
      <w:pPr>
        <w:pStyle w:val="ListBullet"/>
      </w:pPr>
      <w:r>
        <w:t xml:space="preserve">• </w:t>
      </w:r>
      <w:r>
        <w:rPr>
          <w:b/>
        </w:rPr>
        <w:t xml:space="preserve">CTO</w:t>
      </w:r>
      <w:r>
        <w:t xml:space="preserve">: Sarah Huang — Ex-Principal Engineer at Nuance (Dragon Medical team, 2017-2022). Led team that built first ambient medical scribe. MS EE MIT</w:t>
      </w:r>
    </w:p>
    <w:p>
      <w:pPr>
        <w:pStyle w:val="ListBullet"/>
      </w:pPr>
      <w:r>
        <w:t xml:space="preserve">• </w:t>
      </w:r>
      <w:r>
        <w:rPr>
          <w:b/>
        </w:rPr>
        <w:t xml:space="preserve">VP Sales</w:t>
      </w:r>
      <w:r>
        <w:t xml:space="preserve">: Michael Torres — Ex-VP Sales at Veeva Systems. Scaled health IT sales from $40M to $180M ARR. 16 years in health IT enterprise sales</w:t>
      </w:r>
    </w:p>
    <w:p>
      <w:pPr>
        <w:pStyle w:val="ListBullet"/>
      </w:pPr>
      <w:r>
        <w:t xml:space="preserve">• </w:t>
      </w:r>
      <w:r>
        <w:rPr>
          <w:b/>
        </w:rPr>
        <w:t xml:space="preserve">VP Clinical</w:t>
      </w:r>
      <w:r>
        <w:t xml:space="preserve">: Dr. Ananya Reddy — Ex-CMIO at Intermountain Health. Board-certified in clinical informatics</w:t>
      </w:r>
    </w:p>
    <w:p>
      <w:pPr>
        <w:pStyle w:val="ListBullet"/>
      </w:pPr>
      <w:r>
        <w:t xml:space="preserve">• </w:t>
      </w:r>
      <w:r>
        <w:rPr>
          <w:b/>
        </w:rPr>
        <w:t xml:space="preserve">VP Engineering</w:t>
      </w:r>
      <w:r>
        <w:t xml:space="preserve">: Chris Nakamura — Ex-Engineering Director at Epic (clinical documentation platform). 14 years at Epic</w:t>
      </w:r>
    </w:p>
    <w:p>
      <w:pPr>
        <w:pStyle w:val="ListBullet"/>
      </w:pPr>
      <w:r>
        <w:t xml:space="preserve">• </w:t>
      </w:r>
      <w:r>
        <w:t xml:space="preserve">187 employees: 72 engineering, 34 sales, 28 clinical/medical affairs, 22 customer success, 16 ops, 15 G&amp;A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12: Financials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2023A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2024A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2025A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2026E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2027E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2028E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ARR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$3.2M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$11.2M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$115M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$190M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Revenue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$2.1M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$8.7M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$24M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$54M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$100M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$170M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71%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75%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78%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80%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82%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83%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Providers on Platform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480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1,620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3,978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8,800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16,300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27,000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Operating Expenses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$14M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$46M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$105M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Burn Rate/mo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$920K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$1.6M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Breakeven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Cash positive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Cash on Hand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$18M*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$14.2M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$55M**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$40M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$65M+</w:t>
            </w:r>
          </w:p>
        </w:tc>
      </w:tr>
    </w:tbl>
    <w:p>
      <w:pPr>
        <w:spacing w:after="0" w:line="120" w:lineRule="auto"/>
      </w:pPr>
    </w:p>
    <w:p>
      <w:r>
        <w:t xml:space="preserve">*Includes $22M Series A (raised March 2024 at $120M pre)</w:t>
      </w:r>
    </w:p>
    <w:p>
      <w:r>
        <w:t xml:space="preserve">*</w:t>
      </w:r>
      <w:r>
        <w:t xml:space="preserve">*Includes $45M Series B proceeds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13: The Ask</w:t>
      </w:r>
    </w:p>
    <w:p>
      <w:pPr>
        <w:pStyle w:val="ListBullet"/>
      </w:pPr>
      <w:r>
        <w:t xml:space="preserve">• </w:t>
      </w:r>
      <w:r>
        <w:rPr>
          <w:b/>
        </w:rPr>
        <w:t xml:space="preserve">Raising</w:t>
      </w:r>
      <w:r>
        <w:t xml:space="preserve">: $45 million Series B</w:t>
      </w:r>
    </w:p>
    <w:p>
      <w:pPr>
        <w:pStyle w:val="ListBullet"/>
      </w:pPr>
      <w:r>
        <w:t xml:space="preserve">• </w:t>
      </w:r>
      <w:r>
        <w:rPr>
          <w:b/>
        </w:rPr>
        <w:t xml:space="preserve">Pre-money valuation</w:t>
      </w:r>
      <w:r>
        <w:t xml:space="preserve">: $350 million (12.5x trailing ARR)</w:t>
      </w:r>
    </w:p>
    <w:p>
      <w:pPr>
        <w:pStyle w:val="ListBullet"/>
      </w:pPr>
      <w:r>
        <w:t xml:space="preserve">• </w:t>
      </w:r>
      <w:r>
        <w:rPr>
          <w:b/>
        </w:rPr>
        <w:t xml:space="preserve">Existing investors</w:t>
      </w:r>
      <w:r>
        <w:t xml:space="preserve">: Andreessen Horowitz (Series A lead), GV, Flare Capital Partners</w:t>
      </w:r>
    </w:p>
    <w:p>
      <w:pPr>
        <w:pStyle w:val="ListBullet"/>
      </w:pPr>
      <w:r>
        <w:t xml:space="preserve">• </w:t>
      </w:r>
      <w:r>
        <w:rPr>
          <w:b/>
        </w:rPr>
        <w:t xml:space="preserve">Use of funds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35% — Engineering and R&amp;D (scale to 120 engineers, expand specialty models, pursue FDA clearance)</w:t>
      </w:r>
    </w:p>
    <w:p>
      <w:pPr>
        <w:pStyle w:val="ListBullet"/>
      </w:pPr>
      <w:r>
        <w:t xml:space="preserve">• </w:t>
      </w:r>
      <w:r>
        <w:t xml:space="preserve">25% — Sales (scale to 60 AEs, build channel partnerships with EHR vendors)</w:t>
      </w:r>
    </w:p>
    <w:p>
      <w:pPr>
        <w:pStyle w:val="ListBullet"/>
      </w:pPr>
      <w:r>
        <w:t xml:space="preserve">• </w:t>
      </w:r>
      <w:r>
        <w:t xml:space="preserve">20% — Customer success (reduce churn further, build implementation team for 500-bed+ systems)</w:t>
      </w:r>
    </w:p>
    <w:p>
      <w:pPr>
        <w:pStyle w:val="ListBullet"/>
      </w:pPr>
      <w:r>
        <w:t xml:space="preserve">• </w:t>
      </w:r>
      <w:r>
        <w:t xml:space="preserve">10% — International expansion (UK NHS pilot, Germany — KBV integration)</w:t>
      </w:r>
    </w:p>
    <w:p>
      <w:pPr>
        <w:pStyle w:val="ListBullet"/>
      </w:pPr>
      <w:r>
        <w:t xml:space="preserve">• </w:t>
      </w:r>
      <w:r>
        <w:t xml:space="preserve">10% — G&amp;A, legal (FDA regulatory counsel, HIPAA auditing)</w:t>
      </w:r>
    </w:p>
    <w:p>
      <w:pPr>
        <w:pStyle w:val="ListBullet"/>
      </w:pPr>
      <w:r>
        <w:t xml:space="preserve">• </w:t>
      </w:r>
      <w:r>
        <w:rPr>
          <w:b/>
        </w:rPr>
        <w:t xml:space="preserve">Key upcoming milestone</w:t>
      </w:r>
      <w:r>
        <w:t xml:space="preserve">: FDA 510(k) decision on diagnostic suggestion feature expected Q3 2026 — this unlocks an estimated $8-12B additional market opportunity but is NOT required for our core business</w:t>
      </w:r>
    </w:p>
    <w:p>
      <w:pPr>
        <w:pStyle w:val="ListBullet"/>
      </w:pPr>
      <w:r>
        <w:t xml:space="preserve">• </w:t>
      </w:r>
      <w:r>
        <w:rPr>
          <w:b/>
        </w:rPr>
        <w:t xml:space="preserve">Path to profitability</w:t>
      </w:r>
      <w:r>
        <w:t xml:space="preserve">: Breakeven projected Q2 2027 at $100M ARR run rate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Appendix: Regulatory Status</w:t>
      </w:r>
    </w:p>
    <w:p>
      <w:pPr>
        <w:pStyle w:val="ListBullet"/>
      </w:pPr>
      <w:r>
        <w:t xml:space="preserve">• </w:t>
      </w:r>
      <w:r>
        <w:rPr>
          <w:b/>
        </w:rPr>
        <w:t xml:space="preserve">HIPAA</w:t>
      </w:r>
      <w:r>
        <w:t xml:space="preserve">: Fully compliant. SOC 2 Type II certified. Annual third-party penetration testing</w:t>
      </w:r>
    </w:p>
    <w:p>
      <w:pPr>
        <w:pStyle w:val="ListBullet"/>
      </w:pPr>
      <w:r>
        <w:t xml:space="preserve">• </w:t>
      </w:r>
      <w:r>
        <w:rPr>
          <w:b/>
        </w:rPr>
        <w:t xml:space="preserve">EHR Certifications</w:t>
      </w:r>
      <w:r>
        <w:t xml:space="preserve">: Epic App Orchard (certified), Cerner App Gallery (certified), athenahealth Marketplace (listed)</w:t>
      </w:r>
    </w:p>
    <w:p>
      <w:pPr>
        <w:pStyle w:val="ListBullet"/>
      </w:pPr>
      <w:r>
        <w:t xml:space="preserve">• </w:t>
      </w:r>
      <w:r>
        <w:rPr>
          <w:b/>
        </w:rPr>
        <w:t xml:space="preserve">FDA Status</w:t>
      </w:r>
      <w:r>
        <w:t xml:space="preserve">: Core ambient scribe product is exempt from FDA regulation (documentation aid, not diagnostic). Diagnostic suggestion feature (submitted August 2025 under 510(k)) is pending — class II medical device pathway. Decision expected Q3 2026</w:t>
      </w:r>
    </w:p>
    <w:p>
      <w:pPr>
        <w:pStyle w:val="ListBullet"/>
      </w:pPr>
      <w:r>
        <w:t xml:space="preserve">• </w:t>
      </w:r>
      <w:r>
        <w:rPr>
          <w:b/>
        </w:rPr>
        <w:t xml:space="preserve">CMS Reimbursement</w:t>
      </w:r>
      <w:r>
        <w:t xml:space="preserve">: AI-assisted documentation eligible for reimbursement under updated 2026 MPFS guidelines</w:t>
      </w:r>
    </w:p>
    <w:p>
      <w:pPr>
        <w:pStyle w:val="ListBullet"/>
      </w:pPr>
      <w:r>
        <w:t xml:space="preserve">• </w:t>
      </w:r>
      <w:r>
        <w:rPr>
          <w:b/>
        </w:rPr>
        <w:t xml:space="preserve">State regulations</w:t>
      </w:r>
      <w:r>
        <w:t xml:space="preserve">: Compliant in all 50 states. Two-party consent states handled via patient consent workflow at check-in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