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PayLoop - Seed Pitch Deck</w:t>
      </w:r>
    </w:p>
    <w:p>
      <w:pPr>
        <w:pStyle w:val="Heading2"/>
      </w:pPr>
      <w:r>
        <w:t xml:space="preserve">Cross-Border Payroll for Latin America's Remote Workforce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1: Title</w:t>
      </w:r>
    </w:p>
    <w:p>
      <w:r>
        <w:rPr>
          <w:b/>
        </w:rPr>
        <w:t xml:space="preserve">PayLoop</w:t>
      </w:r>
      <w:r>
        <w:t xml:space="preserve"> — Payroll Infrastructure for LatAm Remote Contractors</w:t>
      </w:r>
    </w:p>
    <w:p>
      <w:r>
        <w:t xml:space="preserve">Seed Round: $5M SAFE at $20M post-money cap</w:t>
      </w:r>
    </w:p>
    <w:p>
      <w:r>
        <w:t xml:space="preserve">Founded 2024 | Miami, FL + Mexico City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2: Problem</w:t>
      </w:r>
    </w:p>
    <w:p>
      <w:pPr>
        <w:pStyle w:val="ListBullet"/>
      </w:pPr>
      <w:r>
        <w:t xml:space="preserve">• </w:t>
      </w:r>
      <w:r>
        <w:t xml:space="preserve">2.8M Latin American contractors work for US/EU companies — growing 34% annually</w:t>
      </w:r>
    </w:p>
    <w:p>
      <w:pPr>
        <w:pStyle w:val="ListBullet"/>
      </w:pPr>
      <w:r>
        <w:t xml:space="preserve">• </w:t>
      </w:r>
      <w:r>
        <w:t xml:space="preserve">Paying LatAm contractors is a nightmare: 3-7 day settlement, 4-9% FX fees, no tax compliance</w:t>
      </w:r>
    </w:p>
    <w:p>
      <w:pPr>
        <w:pStyle w:val="ListBullet"/>
      </w:pPr>
      <w:r>
        <w:t xml:space="preserve">• </w:t>
      </w:r>
      <w:r>
        <w:t xml:space="preserve">Companies risk misclassification penalties ($50K+ per worker in some jurisdictions)</w:t>
      </w:r>
    </w:p>
    <w:p>
      <w:pPr>
        <w:pStyle w:val="ListBullet"/>
      </w:pPr>
      <w:r>
        <w:t xml:space="preserve">• </w:t>
      </w:r>
      <w:r>
        <w:t xml:space="preserve">Contractors lose 6-12% of earnings to intermediaries and poor FX rates</w:t>
      </w:r>
    </w:p>
    <w:p>
      <w:pPr>
        <w:pStyle w:val="ListBullet"/>
      </w:pPr>
      <w:r>
        <w:t xml:space="preserve">• </w:t>
      </w:r>
      <w:r>
        <w:t xml:space="preserve">Existing solutions (Deel, Remote) charge $49-99/contractor/mo and focus on full EOR, overkill for many use cases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3: Solution</w:t>
      </w:r>
    </w:p>
    <w:p>
      <w:r>
        <w:rPr>
          <w:b/>
        </w:rPr>
        <w:t xml:space="preserve">PayLoop</w:t>
      </w:r>
      <w:r>
        <w:t xml:space="preserve"> handles the entire contractor payment flow for LatAm:</w:t>
      </w:r>
    </w:p>
    <w:p>
      <w:pPr>
        <w:pStyle w:val="ListBullet"/>
      </w:pPr>
      <w:r>
        <w:t xml:space="preserve">• </w:t>
      </w:r>
      <w:r>
        <w:t xml:space="preserve">Instant contractor onboarding with local compliance (tax ID verification, contract generation)</w:t>
      </w:r>
    </w:p>
    <w:p>
      <w:pPr>
        <w:pStyle w:val="ListBullet"/>
      </w:pPr>
      <w:r>
        <w:t xml:space="preserve">• </w:t>
      </w:r>
      <w:r>
        <w:t xml:space="preserve">Same-day payouts in local currency via local banking rails (not SWIFT)</w:t>
      </w:r>
    </w:p>
    <w:p>
      <w:pPr>
        <w:pStyle w:val="ListBullet"/>
      </w:pPr>
      <w:r>
        <w:t xml:space="preserve">• </w:t>
      </w:r>
      <w:r>
        <w:t xml:space="preserve">FX at mid-market + 0.8% spread (vs. 3-5% industry average)</w:t>
      </w:r>
    </w:p>
    <w:p>
      <w:pPr>
        <w:pStyle w:val="ListBullet"/>
      </w:pPr>
      <w:r>
        <w:t xml:space="preserve">• </w:t>
      </w:r>
      <w:r>
        <w:t xml:space="preserve">Automated local tax withholding and year-end reporting for 7 countries</w:t>
      </w:r>
    </w:p>
    <w:p>
      <w:pPr>
        <w:pStyle w:val="ListBullet"/>
      </w:pPr>
      <w:r>
        <w:t xml:space="preserve">• </w:t>
      </w:r>
      <w:r>
        <w:t xml:space="preserve">Self-serve dashboard — no need to email support for every payment run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4: Why Now</w:t>
      </w:r>
    </w:p>
    <w:p>
      <w:pPr>
        <w:pStyle w:val="ListBullet"/>
      </w:pPr>
      <w:r>
        <w:t xml:space="preserve">• </w:t>
      </w:r>
      <w:r>
        <w:t xml:space="preserve">US companies hired 430,000 new LatAm contractors in 2025 alone (Deel market report)</w:t>
      </w:r>
    </w:p>
    <w:p>
      <w:pPr>
        <w:pStyle w:val="ListBullet"/>
      </w:pPr>
      <w:r>
        <w:t xml:space="preserve">• </w:t>
      </w:r>
      <w:r>
        <w:t xml:space="preserve">Brazil, Mexico, Colombia each enacted new digital worker regulations in 2024-2025 — compliance is suddenly mandatory, not optional</w:t>
      </w:r>
    </w:p>
    <w:p>
      <w:pPr>
        <w:pStyle w:val="ListBullet"/>
      </w:pPr>
      <w:r>
        <w:t xml:space="preserve">• </w:t>
      </w:r>
      <w:r>
        <w:t xml:space="preserve">Real-time payment rails (PIX in Brazil, SPEI in Mexico, PSE in Colombia) enable same-day settlement for the first time</w:t>
      </w:r>
    </w:p>
    <w:p>
      <w:pPr>
        <w:pStyle w:val="ListBullet"/>
      </w:pPr>
      <w:r>
        <w:t xml:space="preserve">• </w:t>
      </w:r>
      <w:r>
        <w:t xml:space="preserve">Fintech licensing has gotten faster — we obtained our Mexico IFPE license in 9 months (previously 18+)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5: Market Size</w:t>
      </w:r>
    </w:p>
    <w:p>
      <w:pPr>
        <w:pStyle w:val="ListBullet"/>
      </w:pPr>
      <w:r>
        <w:t xml:space="preserve">• </w:t>
      </w:r>
      <w:r>
        <w:rPr>
          <w:b/>
        </w:rPr>
        <w:t xml:space="preserve">TAM</w:t>
      </w:r>
      <w:r>
        <w:t xml:space="preserve">: $18B — Cross-border payroll and contractor management for LatAm</w:t>
      </w:r>
    </w:p>
    <w:p>
      <w:pPr>
        <w:pStyle w:val="ListBullet"/>
      </w:pPr>
      <w:r>
        <w:t xml:space="preserve">• </w:t>
      </w:r>
      <w:r>
        <w:rPr>
          <w:b/>
        </w:rPr>
        <w:t xml:space="preserve">SAM</w:t>
      </w:r>
      <w:r>
        <w:t xml:space="preserve">: $4.7B — US/EU companies paying LatAm remote contractors</w:t>
      </w:r>
    </w:p>
    <w:p>
      <w:pPr>
        <w:pStyle w:val="ListBullet"/>
      </w:pPr>
      <w:r>
        <w:t xml:space="preserve">• </w:t>
      </w:r>
      <w:r>
        <w:rPr>
          <w:b/>
        </w:rPr>
        <w:t xml:space="preserve">SOM</w:t>
      </w:r>
      <w:r>
        <w:t xml:space="preserve">: $620M — Companies with 10-500 LatAm contractors seeking payroll-only solution</w:t>
      </w:r>
    </w:p>
    <w:p>
      <w:pPr>
        <w:pStyle w:val="ListBullet"/>
      </w:pPr>
      <w:r>
        <w:t xml:space="preserve">• </w:t>
      </w:r>
      <w:r>
        <w:t xml:space="preserve">Growing at 31% CAGR driven by remote work adoption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6: Product</w:t>
      </w:r>
    </w:p>
    <w:p>
      <w:pPr>
        <w:pStyle w:val="ListBullet"/>
      </w:pPr>
      <w:r>
        <w:t xml:space="preserve">• </w:t>
      </w:r>
      <w:r>
        <w:rPr>
          <w:b/>
        </w:rPr>
        <w:t xml:space="preserve">PayLoop Pay</w:t>
      </w:r>
      <w:r>
        <w:t xml:space="preserve">: Batch payroll runs in 14 currencies across 7 LatAm countries</w:t>
      </w:r>
    </w:p>
    <w:p>
      <w:pPr>
        <w:pStyle w:val="ListBullet"/>
      </w:pPr>
      <w:r>
        <w:t xml:space="preserve">• </w:t>
      </w:r>
      <w:r>
        <w:rPr>
          <w:b/>
        </w:rPr>
        <w:t xml:space="preserve">PayLoop Comply</w:t>
      </w:r>
      <w:r>
        <w:t xml:space="preserve">: Auto-generated contractor agreements, local tax filings, and misclassification risk scoring</w:t>
      </w:r>
    </w:p>
    <w:p>
      <w:pPr>
        <w:pStyle w:val="ListBullet"/>
      </w:pPr>
      <w:r>
        <w:t xml:space="preserve">• </w:t>
      </w:r>
      <w:r>
        <w:rPr>
          <w:b/>
        </w:rPr>
        <w:t xml:space="preserve">PayLoop FX</w:t>
      </w:r>
      <w:r>
        <w:t xml:space="preserve">: Real-time FX engine with locked rates for 24-hour windows</w:t>
      </w:r>
    </w:p>
    <w:p>
      <w:pPr>
        <w:pStyle w:val="ListBullet"/>
      </w:pPr>
      <w:r>
        <w:t xml:space="preserve">• </w:t>
      </w:r>
      <w:r>
        <w:rPr>
          <w:b/>
        </w:rPr>
        <w:t xml:space="preserve">PayLoop Wallet</w:t>
      </w:r>
      <w:r>
        <w:t xml:space="preserve">: Contractor-facing account with instant access, local debit card (Mexico and Brazil), and savings features</w:t>
      </w:r>
    </w:p>
    <w:p>
      <w:pPr>
        <w:pStyle w:val="ListBullet"/>
      </w:pPr>
      <w:r>
        <w:t xml:space="preserve">• </w:t>
      </w:r>
      <w:r>
        <w:t xml:space="preserve">Countries live: Mexico, Brazil, Colombia, Argentina, Chile, Peru, Uruguay</w:t>
      </w:r>
    </w:p>
    <w:p>
      <w:pPr>
        <w:pStyle w:val="ListBullet"/>
      </w:pPr>
      <w:r>
        <w:t xml:space="preserve">• </w:t>
      </w:r>
      <w:r>
        <w:t xml:space="preserve">Integrations: QuickBooks, Xero, Gusto, Rippling, BambooHR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7: Business Model</w:t>
      </w:r>
    </w:p>
    <w:p>
      <w:pPr>
        <w:pStyle w:val="ListBullet"/>
      </w:pPr>
      <w:r>
        <w:t xml:space="preserve">• </w:t>
      </w:r>
      <w:r>
        <w:rPr>
          <w:b/>
        </w:rPr>
        <w:t xml:space="preserve">Take rate model</w:t>
      </w:r>
      <w:r>
        <w:t xml:space="preserve">: 3.2% of each payment processed</w:t>
      </w:r>
    </w:p>
    <w:p>
      <w:pPr>
        <w:pStyle w:val="ListBullet"/>
      </w:pPr>
      <w:r>
        <w:t xml:space="preserve">• </w:t>
      </w:r>
      <w:r>
        <w:t xml:space="preserve">Average contractor payment: $4,800/mo</w:t>
      </w:r>
    </w:p>
    <w:p>
      <w:pPr>
        <w:pStyle w:val="ListBullet"/>
      </w:pPr>
      <w:r>
        <w:t xml:space="preserve">• </w:t>
      </w:r>
      <w:r>
        <w:t xml:space="preserve">Revenue per contractor: $153.60/mo ($1,843/yr)</w:t>
      </w:r>
    </w:p>
    <w:p>
      <w:pPr>
        <w:pStyle w:val="ListBullet"/>
      </w:pPr>
      <w:r>
        <w:t xml:space="preserve">• </w:t>
      </w:r>
      <w:r>
        <w:t xml:space="preserve">Additional revenue: FX spread (0.8% above mid-market) and premium compliance features ($12/contractor/mo)</w:t>
      </w:r>
    </w:p>
    <w:p>
      <w:pPr>
        <w:pStyle w:val="ListBullet"/>
      </w:pPr>
      <w:r>
        <w:t xml:space="preserve">• </w:t>
      </w:r>
      <w:r>
        <w:t xml:space="preserve">Blended effective take rate including FX: ~4.1%</w:t>
      </w:r>
    </w:p>
    <w:p>
      <w:pPr>
        <w:pStyle w:val="ListBullet"/>
      </w:pPr>
      <w:r>
        <w:t xml:space="preserve">• </w:t>
      </w:r>
      <w:r>
        <w:t xml:space="preserve">Gross margin: 71% (after banking partner costs, FX hedging, and compliance ops)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8: Traction</w:t>
      </w:r>
    </w:p>
    <w:p>
      <w:pPr>
        <w:pStyle w:val="ListBullet"/>
      </w:pPr>
      <w:r>
        <w:t xml:space="preserve">• </w:t>
      </w:r>
      <w:r>
        <w:rPr>
          <w:b/>
        </w:rPr>
        <w:t xml:space="preserve">MRR</w:t>
      </w:r>
      <w:r>
        <w:t xml:space="preserve">: $480K (as of February 2026)</w:t>
      </w:r>
    </w:p>
    <w:p>
      <w:pPr>
        <w:pStyle w:val="ListBullet"/>
      </w:pPr>
      <w:r>
        <w:t xml:space="preserve">• </w:t>
      </w:r>
      <w:r>
        <w:rPr>
          <w:b/>
        </w:rPr>
        <w:t xml:space="preserve">Growth</w:t>
      </w:r>
      <w:r>
        <w:t xml:space="preserve">: $38K MRR in March 2025 -&gt; $480K in February 2026 (12.6x in 11 months)</w:t>
      </w:r>
    </w:p>
    <w:p>
      <w:pPr>
        <w:pStyle w:val="ListBullet"/>
      </w:pPr>
      <w:r>
        <w:t xml:space="preserve">• </w:t>
      </w:r>
      <w:r>
        <w:rPr>
          <w:b/>
        </w:rPr>
        <w:t xml:space="preserve">Contractors on platform</w:t>
      </w:r>
      <w:r>
        <w:t xml:space="preserve">: 1,200 active (paid at least once in last 60 days)</w:t>
      </w:r>
    </w:p>
    <w:p>
      <w:pPr>
        <w:pStyle w:val="ListBullet"/>
      </w:pPr>
      <w:r>
        <w:t xml:space="preserve">• </w:t>
      </w:r>
      <w:r>
        <w:rPr>
          <w:b/>
        </w:rPr>
        <w:t xml:space="preserve">Client companies</w:t>
      </w:r>
      <w:r>
        <w:t xml:space="preserve">: 89 (avg 13.5 contractors per client)</w:t>
      </w:r>
    </w:p>
    <w:p>
      <w:pPr>
        <w:pStyle w:val="ListBullet"/>
      </w:pPr>
      <w:r>
        <w:t xml:space="preserve">• </w:t>
      </w:r>
      <w:r>
        <w:rPr>
          <w:b/>
        </w:rPr>
        <w:t xml:space="preserve">Payment volume</w:t>
      </w:r>
      <w:r>
        <w:t xml:space="preserve">: $5.76M/mo processed</w:t>
      </w:r>
    </w:p>
    <w:p>
      <w:pPr>
        <w:pStyle w:val="ListBullet"/>
      </w:pPr>
      <w:r>
        <w:t xml:space="preserve">• </w:t>
      </w:r>
      <w:r>
        <w:rPr>
          <w:b/>
        </w:rPr>
        <w:t xml:space="preserve">Payment success rate</w:t>
      </w:r>
      <w:r>
        <w:t xml:space="preserve">: 99.2% (0.8% failure due to incorrect banking details)</w:t>
      </w:r>
    </w:p>
    <w:p>
      <w:pPr>
        <w:pStyle w:val="ListBullet"/>
      </w:pPr>
      <w:r>
        <w:t xml:space="preserve">• </w:t>
      </w:r>
      <w:r>
        <w:rPr>
          <w:b/>
        </w:rPr>
        <w:t xml:space="preserve">Countries by volume</w:t>
      </w:r>
      <w:r>
        <w:t xml:space="preserve">: Mexico 42%, Brazil 28%, Colombia 18%, Other 12%</w:t>
      </w:r>
    </w:p>
    <w:p>
      <w:pPr>
        <w:pStyle w:val="ListBullet"/>
      </w:pPr>
      <w:r>
        <w:t xml:space="preserve">• </w:t>
      </w:r>
      <w:r>
        <w:rPr>
          <w:b/>
        </w:rPr>
        <w:t xml:space="preserve">REGULATORY NOTE</w:t>
      </w:r>
      <w:r>
        <w:t xml:space="preserve">: Operating under sandbox/temporary licenses in Argentina, Peru, and Uruguay. Full licenses pending — expected Q3 2026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9: Competition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PayLoop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Deel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Remote.com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Papaya Global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Wise Business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LatAm Specialist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 (global)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 (global)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 (global)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 (global)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Same-Day Payout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 (5 countries)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2-3 days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3-5 days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2-4 days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1-2 days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FX Spread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0.8%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2-4%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2-3%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1.5-3%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0.6%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Per-Contractor Fee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$0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$49-99/mo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$50-99/mo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$12-20/mo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$0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Local Tax Filing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 (7 countries)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Partial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Partial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Contractor Wallet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Misclassification Scoring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Basic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Basic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</w:tr>
    </w:tbl>
    <w:p>
      <w:pPr>
        <w:spacing w:after="0" w:line="120" w:lineRule="auto"/>
      </w:pPr>
    </w:p>
    <w:p>
      <w:r>
        <w:t xml:space="preserve">Our edge: we're the only platform built LatAm-first with local banking rail integrations. Deel and Remote bolt on LatAm as one of 150 countries.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10: Team</w:t>
      </w:r>
    </w:p>
    <w:p>
      <w:pPr>
        <w:pStyle w:val="ListBullet"/>
      </w:pPr>
      <w:r>
        <w:t xml:space="preserve">• </w:t>
      </w:r>
      <w:r>
        <w:rPr>
          <w:b/>
        </w:rPr>
        <w:t xml:space="preserve">CEO/Co-founder</w:t>
      </w:r>
      <w:r>
        <w:t xml:space="preserve">: Diego Reyes — Previously co-founded RemitX (LatAm remittance startup, acquired by dLocal in 2022 for undisclosed amount). Before that: Goldman Sachs LatAm desk, 4 years. MBA Wharton. </w:t>
      </w:r>
      <w:r>
        <w:rPr>
          <w:b/>
        </w:rPr>
        <w:t xml:space="preserve">Full transparency</w:t>
      </w:r>
      <w:r>
        <w:t xml:space="preserve">: RemitX was acqui-hired after running low on capital — we learned hard lessons about burn management</w:t>
      </w:r>
    </w:p>
    <w:p>
      <w:pPr>
        <w:pStyle w:val="ListBullet"/>
      </w:pPr>
      <w:r>
        <w:t xml:space="preserve">• </w:t>
      </w:r>
      <w:r>
        <w:rPr>
          <w:b/>
        </w:rPr>
        <w:t xml:space="preserve">CTO/Co-founder</w:t>
      </w:r>
      <w:r>
        <w:t xml:space="preserve">: Ana Lucia Ferreira — Ex-Senior Engineer at Nubank (payments infrastructure). Built PIX integration that processed $2B+ in first year. BS/MS Computer Science, USP (Brazil)</w:t>
      </w:r>
    </w:p>
    <w:p>
      <w:pPr>
        <w:pStyle w:val="ListBullet"/>
      </w:pPr>
      <w:r>
        <w:t xml:space="preserve">• </w:t>
      </w:r>
      <w:r>
        <w:rPr>
          <w:b/>
        </w:rPr>
        <w:t xml:space="preserve">Head of Compliance</w:t>
      </w:r>
      <w:r>
        <w:t xml:space="preserve">: Roberto Castillo — Ex-VP Compliance at Rappi Financial Services. 12 years in LatAm financial regulation</w:t>
      </w:r>
    </w:p>
    <w:p>
      <w:pPr>
        <w:pStyle w:val="ListBullet"/>
      </w:pPr>
      <w:r>
        <w:t xml:space="preserve">• </w:t>
      </w:r>
      <w:r>
        <w:rPr>
          <w:b/>
        </w:rPr>
        <w:t xml:space="preserve">Head of Growth</w:t>
      </w:r>
      <w:r>
        <w:t xml:space="preserve">: Camila Ortiz — Ex-Growth Lead at Platzi. Built contractor community of 180K in LatAm</w:t>
      </w:r>
    </w:p>
    <w:p>
      <w:pPr>
        <w:pStyle w:val="ListBullet"/>
      </w:pPr>
      <w:r>
        <w:t xml:space="preserve">• </w:t>
      </w:r>
      <w:r>
        <w:t xml:space="preserve">18 employees: 9 engineering, 3 compliance/legal, 3 ops, 2 sales, 1 design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11: Financials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Q1 2025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Q2 2025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Q3 2025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Q4 2025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Jan 2026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Feb 2026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MRR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$38K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$92K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$187K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$340K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$425K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$480K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Contractors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85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210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480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830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1,050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1,200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Client Companies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19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38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62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78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89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Payment Volume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$408K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$1.01M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$2.3M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$3.98M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$5.04M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$5.76M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Gross Margin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64%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67%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69%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70%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71%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71%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Monthly Burn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$185K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$210K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$245K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$280K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$295K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$310K</w:t>
            </w:r>
          </w:p>
        </w:tc>
      </w:tr>
    </w:tbl>
    <w:p>
      <w:pPr>
        <w:spacing w:after="0" w:line="120" w:lineRule="auto"/>
      </w:pPr>
    </w:p>
    <w:p>
      <w:r>
        <w:t xml:space="preserve">Current runway: 4.8 months at current burn (hence urgency of this raise)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12: The Ask</w:t>
      </w:r>
    </w:p>
    <w:p>
      <w:pPr>
        <w:pStyle w:val="ListBullet"/>
      </w:pPr>
      <w:r>
        <w:t xml:space="preserve">• </w:t>
      </w:r>
      <w:r>
        <w:rPr>
          <w:b/>
        </w:rPr>
        <w:t xml:space="preserve">Raising</w:t>
      </w:r>
      <w:r>
        <w:t xml:space="preserve">: $5M SAFE with $20M post-money cap</w:t>
      </w:r>
    </w:p>
    <w:p>
      <w:pPr>
        <w:pStyle w:val="ListBullet"/>
      </w:pPr>
      <w:r>
        <w:t xml:space="preserve">• </w:t>
      </w:r>
      <w:r>
        <w:rPr>
          <w:b/>
        </w:rPr>
        <w:t xml:space="preserve">MFN provision</w:t>
      </w:r>
      <w:r>
        <w:t xml:space="preserve">: Yes</w:t>
      </w:r>
    </w:p>
    <w:p>
      <w:pPr>
        <w:pStyle w:val="ListBullet"/>
      </w:pPr>
      <w:r>
        <w:t xml:space="preserve">• </w:t>
      </w:r>
      <w:r>
        <w:rPr>
          <w:b/>
        </w:rPr>
        <w:t xml:space="preserve">Pro rata rights</w:t>
      </w:r>
      <w:r>
        <w:t xml:space="preserve">: For investors committing $500K+</w:t>
      </w:r>
    </w:p>
    <w:p>
      <w:pPr>
        <w:pStyle w:val="ListBullet"/>
      </w:pPr>
      <w:r>
        <w:t xml:space="preserve">• </w:t>
      </w:r>
      <w:r>
        <w:rPr>
          <w:b/>
        </w:rPr>
        <w:t xml:space="preserve">Use of funds</w:t>
      </w:r>
      <w:r>
        <w:t xml:space="preserve">:</w:t>
      </w:r>
    </w:p>
    <w:p>
      <w:pPr>
        <w:pStyle w:val="ListBullet"/>
      </w:pPr>
      <w:r>
        <w:t xml:space="preserve">• </w:t>
      </w:r>
      <w:r>
        <w:t xml:space="preserve">35% — Engineering (scale team to 18, build contractor wallet v2)</w:t>
      </w:r>
    </w:p>
    <w:p>
      <w:pPr>
        <w:pStyle w:val="ListBullet"/>
      </w:pPr>
      <w:r>
        <w:t xml:space="preserve">• </w:t>
      </w:r>
      <w:r>
        <w:t xml:space="preserve">25% — Compliance &amp; licensing (full licenses in AR, PE, UY; enter Ecuador and Paraguay)</w:t>
      </w:r>
    </w:p>
    <w:p>
      <w:pPr>
        <w:pStyle w:val="ListBullet"/>
      </w:pPr>
      <w:r>
        <w:t xml:space="preserve">• </w:t>
      </w:r>
      <w:r>
        <w:t xml:space="preserve">20% — Sales &amp; partnerships (hire 4 AEs focused on US tech companies)</w:t>
      </w:r>
    </w:p>
    <w:p>
      <w:pPr>
        <w:pStyle w:val="ListBullet"/>
      </w:pPr>
      <w:r>
        <w:t xml:space="preserve">• </w:t>
      </w:r>
      <w:r>
        <w:t xml:space="preserve">15% — Operations (payment ops, customer support)</w:t>
      </w:r>
    </w:p>
    <w:p>
      <w:pPr>
        <w:pStyle w:val="ListBullet"/>
      </w:pPr>
      <w:r>
        <w:t xml:space="preserve">• </w:t>
      </w:r>
      <w:r>
        <w:t xml:space="preserve">5% — G&amp;A</w:t>
      </w:r>
    </w:p>
    <w:p>
      <w:pPr>
        <w:pStyle w:val="ListBullet"/>
      </w:pPr>
      <w:r>
        <w:t xml:space="preserve">• </w:t>
      </w:r>
      <w:r>
        <w:rPr>
          <w:b/>
        </w:rPr>
        <w:t xml:space="preserve">18-month targets</w:t>
      </w:r>
      <w:r>
        <w:t xml:space="preserve">: $1.5M MRR, 4,000+ contractors, 300+ client companies, full licenses in all 9 countries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13: Risk Factors</w:t>
      </w:r>
    </w:p>
    <w:p>
      <w:pPr>
        <w:pStyle w:val="ListBullet"/>
      </w:pPr>
      <w:r>
        <w:t xml:space="preserve">• </w:t>
      </w:r>
      <w:r>
        <w:rPr>
          <w:b/>
        </w:rPr>
        <w:t xml:space="preserve">Regulatory gray area</w:t>
      </w:r>
      <w:r>
        <w:t xml:space="preserve">: We operate under temporary/sandbox frameworks in 3 of 7 countries. Regulators could change rules. Mitigation: Roberto Castillo (Head of Compliance) has direct relationships with regulators in all 7 countries; we're actively seeking full licenses</w:t>
      </w:r>
    </w:p>
    <w:p>
      <w:pPr>
        <w:pStyle w:val="ListBullet"/>
      </w:pPr>
      <w:r>
        <w:t xml:space="preserve">• </w:t>
      </w:r>
      <w:r>
        <w:rPr>
          <w:b/>
        </w:rPr>
        <w:t xml:space="preserve">Founder history</w:t>
      </w:r>
      <w:r>
        <w:t xml:space="preserve">: Diego's previous startup (RemitX) was acqui-hired after nearly running out of money. Lesson learned: we maintain strict burn discipline and raise earlier. Current burn multiple: 2.8x</w:t>
      </w:r>
    </w:p>
    <w:p>
      <w:pPr>
        <w:pStyle w:val="ListBullet"/>
      </w:pPr>
      <w:r>
        <w:t xml:space="preserve">• </w:t>
      </w:r>
      <w:r>
        <w:rPr>
          <w:b/>
        </w:rPr>
        <w:t xml:space="preserve">FX risk</w:t>
      </w:r>
      <w:r>
        <w:t xml:space="preserve">: We hold LatAm currencies for up to 48 hours during settlement. Mitigation: hedging via forward contracts for MXN and BRL; daily settlement for volatile currencies (ARS)</w:t>
      </w:r>
    </w:p>
    <w:p>
      <w:pPr>
        <w:pStyle w:val="ListBullet"/>
      </w:pPr>
      <w:r>
        <w:t xml:space="preserve">• </w:t>
      </w:r>
      <w:r>
        <w:rPr>
          <w:b/>
        </w:rPr>
        <w:t xml:space="preserve">Country concentration</w:t>
      </w:r>
      <w:r>
        <w:t xml:space="preserve">: Mexico is 42% of volume. Diversification underway — Brazil growing fastest (was 18% in Q1, now 28%)</w:t>
      </w:r>
    </w:p>
    <w:p>
      <w:pPr>
        <w:pStyle w:val="ListBullet"/>
      </w:pPr>
      <w:r>
        <w:t xml:space="preserve">• </w:t>
      </w:r>
      <w:r>
        <w:rPr>
          <w:b/>
        </w:rPr>
        <w:t xml:space="preserve">Take rate compression</w:t>
      </w:r>
      <w:r>
        <w:t xml:space="preserve">: As we scale, larger clients will negotiate lower rates. We expect blended take rate to decline to 2.8% at $50M+ monthly volume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