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
    Type="http://schemas.openxmlformats.org/officeDocument/2006/relationships/officeDocument"
   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 xml:space="preserve">VaultSync - Series A Pitch Deck</w:t>
      </w:r>
    </w:p>
    <w:p>
      <w:pPr>
        <w:pStyle w:val="Heading2"/>
      </w:pPr>
      <w:r>
        <w:t xml:space="preserve">Zero-Trust Data Rooms for High-Stakes Deals</w:t>
      </w:r>
    </w:p>
    <w:p>
      <w:pPr>
        <w:spacing w:after="0" w:line="120" w:lineRule="auto"/>
      </w:pPr>
    </w:p>
    <w:p>
      <w:pPr>
        <w:pStyle w:val="HorizontalRule"/>
      </w:pPr>
    </w:p>
    <w:p>
      <w:pPr>
        <w:spacing w:after="0" w:line="120" w:lineRule="auto"/>
      </w:pPr>
    </w:p>
    <w:p>
      <w:pPr>
        <w:pStyle w:val="Heading2"/>
      </w:pPr>
      <w:r>
        <w:t xml:space="preserve">Slide 1: Title</w:t>
      </w:r>
    </w:p>
    <w:p>
      <w:r>
        <w:rPr>
          <w:b/>
        </w:rPr>
        <w:t xml:space="preserve">VaultSync</w:t>
      </w:r>
      <w:r>
        <w:t xml:space="preserve"> — The Secure Data Room Built for M&amp;A Due Diligence</w:t>
      </w:r>
    </w:p>
    <w:p>
      <w:r>
        <w:t xml:space="preserve">Series A Fundraise: $15M at $65M pre-money valuation</w:t>
      </w:r>
    </w:p>
    <w:p>
      <w:r>
        <w:t xml:space="preserve">Founded 2022 | New York, NY</w:t>
      </w:r>
    </w:p>
    <w:p>
      <w:pPr>
        <w:spacing w:after="0" w:line="120" w:lineRule="auto"/>
      </w:pPr>
    </w:p>
    <w:p>
      <w:pPr>
        <w:pStyle w:val="HorizontalRule"/>
      </w:pPr>
    </w:p>
    <w:p>
      <w:pPr>
        <w:spacing w:after="0" w:line="120" w:lineRule="auto"/>
      </w:pPr>
    </w:p>
    <w:p>
      <w:pPr>
        <w:pStyle w:val="Heading2"/>
      </w:pPr>
      <w:r>
        <w:t xml:space="preserve">Slide 2: Problem</w:t>
      </w:r>
    </w:p>
    <w:p>
      <w:pPr>
        <w:pStyle w:val="ListBullet"/>
      </w:pPr>
      <w:r>
        <w:t xml:space="preserve">• </w:t>
      </w:r>
      <w:r>
        <w:t xml:space="preserve">$3.4T in M&amp;A transactions close annually — every one requires a data room</w:t>
      </w:r>
    </w:p>
    <w:p>
      <w:pPr>
        <w:pStyle w:val="ListBullet"/>
      </w:pPr>
      <w:r>
        <w:t xml:space="preserve">• </w:t>
      </w:r>
      <w:r>
        <w:t xml:space="preserve">Current solutions (Intralinks, Datasite, Firmex) are legacy platforms built in the 2000s — clunky, slow, and insecure</w:t>
      </w:r>
    </w:p>
    <w:p>
      <w:pPr>
        <w:pStyle w:val="ListBullet"/>
      </w:pPr>
      <w:r>
        <w:t xml:space="preserve">• </w:t>
      </w:r>
      <w:r>
        <w:t xml:space="preserve">23% of M&amp;A deals experience a data breach or unauthorized access during due diligence (Deloitte M&amp;A Security Report 2025)</w:t>
      </w:r>
    </w:p>
    <w:p>
      <w:pPr>
        <w:pStyle w:val="ListBullet"/>
      </w:pPr>
      <w:r>
        <w:t xml:space="preserve">• </w:t>
      </w:r>
      <w:r>
        <w:t xml:space="preserve">Average data room costs $15,000-50,000 per deal and takes 2 weeks to set up</w:t>
      </w:r>
    </w:p>
    <w:p>
      <w:pPr>
        <w:pStyle w:val="ListBullet"/>
      </w:pPr>
      <w:r>
        <w:t xml:space="preserve">• </w:t>
      </w:r>
      <w:r>
        <w:t xml:space="preserve">Document watermarking and access controls are easily circumvented — screenshots, screen recording, copy-paste</w:t>
      </w:r>
    </w:p>
    <w:p>
      <w:pPr>
        <w:pStyle w:val="ListBullet"/>
      </w:pPr>
      <w:r>
        <w:t xml:space="preserve">• </w:t>
      </w:r>
      <w:r>
        <w:t xml:space="preserve">Law firms manage 30-80 active data rooms simultaneously — admin overhead is enormous</w:t>
      </w:r>
    </w:p>
    <w:p>
      <w:pPr>
        <w:spacing w:after="0" w:line="120" w:lineRule="auto"/>
      </w:pPr>
    </w:p>
    <w:p>
      <w:pPr>
        <w:pStyle w:val="HorizontalRule"/>
      </w:pPr>
    </w:p>
    <w:p>
      <w:pPr>
        <w:spacing w:after="0" w:line="120" w:lineRule="auto"/>
      </w:pPr>
    </w:p>
    <w:p>
      <w:pPr>
        <w:pStyle w:val="Heading2"/>
      </w:pPr>
      <w:r>
        <w:t xml:space="preserve">Slide 3: Solution</w:t>
      </w:r>
    </w:p>
    <w:p>
      <w:r>
        <w:rPr>
          <w:b/>
        </w:rPr>
        <w:t xml:space="preserve">VaultSync</w:t>
      </w:r>
      <w:r>
        <w:t xml:space="preserve"> is a zero-trust data room platform designed for M&amp;A due diligence:</w:t>
      </w:r>
    </w:p>
    <w:p>
      <w:pPr>
        <w:pStyle w:val="ListBullet"/>
      </w:pPr>
      <w:r>
        <w:t xml:space="preserve">• </w:t>
      </w:r>
      <w:r>
        <w:rPr>
          <w:b/>
        </w:rPr>
        <w:t xml:space="preserve">Zero-Trust Architecture</w:t>
      </w:r>
      <w:r>
        <w:t xml:space="preserve">: Every document access requires real-time authentication and authorization — no cached sessions, no persistent downloads</w:t>
      </w:r>
    </w:p>
    <w:p>
      <w:pPr>
        <w:pStyle w:val="ListBullet"/>
      </w:pPr>
      <w:r>
        <w:t xml:space="preserve">• </w:t>
      </w:r>
      <w:r>
        <w:rPr>
          <w:b/>
        </w:rPr>
        <w:t xml:space="preserve">AI Document Prep</w:t>
      </w:r>
      <w:r>
        <w:t xml:space="preserve">: Upload raw documents, AI automatically organizes into standard due diligence categories (financial, legal, IP, employment, etc.)</w:t>
      </w:r>
    </w:p>
    <w:p>
      <w:pPr>
        <w:pStyle w:val="ListBullet"/>
      </w:pPr>
      <w:r>
        <w:t xml:space="preserve">• </w:t>
      </w:r>
      <w:r>
        <w:rPr>
          <w:b/>
        </w:rPr>
        <w:t xml:space="preserve">Forensic Watermarking</w:t>
      </w:r>
      <w:r>
        <w:t xml:space="preserve">: Invisible, unique watermarks per viewer per session — traceable even from screenshots or photos of screens</w:t>
      </w:r>
    </w:p>
    <w:p>
      <w:pPr>
        <w:pStyle w:val="ListBullet"/>
      </w:pPr>
      <w:r>
        <w:t xml:space="preserve">• </w:t>
      </w:r>
      <w:r>
        <w:rPr>
          <w:b/>
        </w:rPr>
        <w:t xml:space="preserve">Smart Redaction</w:t>
      </w:r>
      <w:r>
        <w:t xml:space="preserve">: AI-powered PII and sensitive data redaction with human review workflow</w:t>
      </w:r>
    </w:p>
    <w:p>
      <w:pPr>
        <w:pStyle w:val="ListBullet"/>
      </w:pPr>
      <w:r>
        <w:t xml:space="preserve">• </w:t>
      </w:r>
      <w:r>
        <w:rPr>
          <w:b/>
        </w:rPr>
        <w:t xml:space="preserve">Deal Analytics</w:t>
      </w:r>
      <w:r>
        <w:t xml:space="preserve">: Real-time dashboard showing exactly who viewed what, for how long, and what they downloaded</w:t>
      </w:r>
    </w:p>
    <w:p>
      <w:pPr>
        <w:pStyle w:val="ListBullet"/>
      </w:pPr>
      <w:r>
        <w:t xml:space="preserve">• </w:t>
      </w:r>
      <w:r>
        <w:rPr>
          <w:b/>
        </w:rPr>
        <w:t xml:space="preserve">Instant Setup</w:t>
      </w:r>
      <w:r>
        <w:t xml:space="preserve">: Go from document upload to live data room in 4 hours (vs. 2 weeks industry average)</w:t>
      </w:r>
    </w:p>
    <w:p>
      <w:pPr>
        <w:spacing w:after="0" w:line="120" w:lineRule="auto"/>
      </w:pPr>
    </w:p>
    <w:p>
      <w:pPr>
        <w:pStyle w:val="HorizontalRule"/>
      </w:pPr>
    </w:p>
    <w:p>
      <w:pPr>
        <w:spacing w:after="0" w:line="120" w:lineRule="auto"/>
      </w:pPr>
    </w:p>
    <w:p>
      <w:pPr>
        <w:pStyle w:val="Heading2"/>
      </w:pPr>
      <w:r>
        <w:t xml:space="preserve">Slide 4: Why Now</w:t>
      </w:r>
    </w:p>
    <w:p>
      <w:pPr>
        <w:pStyle w:val="ListBullet"/>
      </w:pPr>
      <w:r>
        <w:t xml:space="preserve">• </w:t>
      </w:r>
      <w:r>
        <w:t xml:space="preserve">M&amp;A activity rebounding after 2023-2024 downturn — 2025 deal volume up 28% YoY (PitchBook)</w:t>
      </w:r>
    </w:p>
    <w:p>
      <w:pPr>
        <w:pStyle w:val="ListBullet"/>
      </w:pPr>
      <w:r>
        <w:t xml:space="preserve">• </w:t>
      </w:r>
      <w:r>
        <w:t xml:space="preserve">Zero-trust security frameworks are now mandated for regulated industries (NIST 2.0, EU DORA)</w:t>
      </w:r>
    </w:p>
    <w:p>
      <w:pPr>
        <w:pStyle w:val="ListBullet"/>
      </w:pPr>
      <w:r>
        <w:t xml:space="preserve">• </w:t>
      </w:r>
      <w:r>
        <w:t xml:space="preserve">AI document processing capabilities enable automated data room organization for the first time</w:t>
      </w:r>
    </w:p>
    <w:p>
      <w:pPr>
        <w:pStyle w:val="ListBullet"/>
      </w:pPr>
      <w:r>
        <w:t xml:space="preserve">• </w:t>
      </w:r>
      <w:r>
        <w:t xml:space="preserve">Law firms are modernizing tech stacks — 67% increased IT budgets in 2025 (ILTA survey)</w:t>
      </w:r>
    </w:p>
    <w:p>
      <w:pPr>
        <w:pStyle w:val="ListBullet"/>
      </w:pPr>
      <w:r>
        <w:t xml:space="preserve">• </w:t>
      </w:r>
      <w:r>
        <w:t xml:space="preserve">Increasing regulatory scrutiny on deal data handling (SEC, FTC, EU Merger Regulation)</w:t>
      </w:r>
    </w:p>
    <w:p>
      <w:pPr>
        <w:spacing w:after="0" w:line="120" w:lineRule="auto"/>
      </w:pPr>
    </w:p>
    <w:p>
      <w:pPr>
        <w:pStyle w:val="HorizontalRule"/>
      </w:pPr>
    </w:p>
    <w:p>
      <w:pPr>
        <w:spacing w:after="0" w:line="120" w:lineRule="auto"/>
      </w:pPr>
    </w:p>
    <w:p>
      <w:pPr>
        <w:pStyle w:val="Heading2"/>
      </w:pPr>
      <w:r>
        <w:t xml:space="preserve">Slide 5: Market Size</w:t>
      </w:r>
    </w:p>
    <w:p>
      <w:pPr>
        <w:pStyle w:val="ListBullet"/>
      </w:pPr>
      <w:r>
        <w:t xml:space="preserve">• </w:t>
      </w:r>
      <w:r>
        <w:rPr>
          <w:b/>
        </w:rPr>
        <w:t xml:space="preserve">TAM</w:t>
      </w:r>
      <w:r>
        <w:t xml:space="preserve">: $8.2B — Global virtual data room and deal management market</w:t>
      </w:r>
    </w:p>
    <w:p>
      <w:pPr>
        <w:pStyle w:val="ListBullet"/>
      </w:pPr>
      <w:r>
        <w:t xml:space="preserve">• </w:t>
      </w:r>
      <w:r>
        <w:rPr>
          <w:b/>
        </w:rPr>
        <w:t xml:space="preserve">SAM</w:t>
      </w:r>
      <w:r>
        <w:t xml:space="preserve">: $3.6B — M&amp;A-specific data rooms (US, EU, UK)</w:t>
      </w:r>
    </w:p>
    <w:p>
      <w:pPr>
        <w:pStyle w:val="ListBullet"/>
      </w:pPr>
      <w:r>
        <w:t xml:space="preserve">• </w:t>
      </w:r>
      <w:r>
        <w:rPr>
          <w:b/>
        </w:rPr>
        <w:t xml:space="preserve">SOM</w:t>
      </w:r>
      <w:r>
        <w:t xml:space="preserve">: $890M — Law firm and boutique advisory data room spend</w:t>
      </w:r>
    </w:p>
    <w:p>
      <w:pPr>
        <w:pStyle w:val="ListBullet"/>
      </w:pPr>
      <w:r>
        <w:t xml:space="preserve">• </w:t>
      </w:r>
      <w:r>
        <w:t xml:space="preserve">Growing at 14% CAGR, accelerating with M&amp;A recovery</w:t>
      </w:r>
    </w:p>
    <w:p>
      <w:pPr>
        <w:spacing w:after="0" w:line="120" w:lineRule="auto"/>
      </w:pPr>
    </w:p>
    <w:p>
      <w:pPr>
        <w:pStyle w:val="HorizontalRule"/>
      </w:pPr>
    </w:p>
    <w:p>
      <w:pPr>
        <w:spacing w:after="0" w:line="120" w:lineRule="auto"/>
      </w:pPr>
    </w:p>
    <w:p>
      <w:pPr>
        <w:pStyle w:val="Heading2"/>
      </w:pPr>
      <w:r>
        <w:t xml:space="preserve">Slide 6: Product</w:t>
      </w:r>
    </w:p>
    <w:p>
      <w:pPr>
        <w:pStyle w:val="ListBullet"/>
      </w:pPr>
      <w:r>
        <w:t xml:space="preserve">• </w:t>
      </w:r>
      <w:r>
        <w:rPr>
          <w:b/>
        </w:rPr>
        <w:t xml:space="preserve">VaultSync Rooms</w:t>
      </w:r>
      <w:r>
        <w:t xml:space="preserve">: Create deal-specific data rooms with granular permissions (view, download, print, copy — each controlled separately per user per folder)</w:t>
      </w:r>
    </w:p>
    <w:p>
      <w:pPr>
        <w:pStyle w:val="ListBullet"/>
      </w:pPr>
      <w:r>
        <w:t xml:space="preserve">• </w:t>
      </w:r>
      <w:r>
        <w:rPr>
          <w:b/>
        </w:rPr>
        <w:t xml:space="preserve">AI Organizer</w:t>
      </w:r>
      <w:r>
        <w:t xml:space="preserve">: Drag-and-drop 10,000 documents — AI categorizes them into the standard due diligence index in 20 minutes</w:t>
      </w:r>
    </w:p>
    <w:p>
      <w:pPr>
        <w:pStyle w:val="ListBullet"/>
      </w:pPr>
      <w:r>
        <w:t xml:space="preserve">• </w:t>
      </w:r>
      <w:r>
        <w:rPr>
          <w:b/>
        </w:rPr>
        <w:t xml:space="preserve">Forensic Watermarking</w:t>
      </w:r>
      <w:r>
        <w:t xml:space="preserve">: Every rendered page has an invisible, unique forensic watermark tied to the viewer's identity and timestamp. Survives screenshots, photos, and printing</w:t>
      </w:r>
    </w:p>
    <w:p>
      <w:pPr>
        <w:pStyle w:val="ListBullet"/>
      </w:pPr>
      <w:r>
        <w:t xml:space="preserve">• </w:t>
      </w:r>
      <w:r>
        <w:rPr>
          <w:b/>
        </w:rPr>
        <w:t xml:space="preserve">Smart Redaction</w:t>
      </w:r>
      <w:r>
        <w:t xml:space="preserve">: AI identifies and redacts SSNs, bank accounts, compensation data, trade secrets across 40+ document types. 97.2% recall, 94.8% precision</w:t>
      </w:r>
    </w:p>
    <w:p>
      <w:pPr>
        <w:pStyle w:val="ListBullet"/>
      </w:pPr>
      <w:r>
        <w:t xml:space="preserve">• </w:t>
      </w:r>
      <w:r>
        <w:rPr>
          <w:b/>
        </w:rPr>
        <w:t xml:space="preserve">Q&amp;A Workflow</w:t>
      </w:r>
      <w:r>
        <w:t xml:space="preserve">: Built-in question-and-answer system for buyer/seller communication, with automatic privilege tagging</w:t>
      </w:r>
    </w:p>
    <w:p>
      <w:pPr>
        <w:pStyle w:val="ListBullet"/>
      </w:pPr>
      <w:r>
        <w:t xml:space="preserve">• </w:t>
      </w:r>
      <w:r>
        <w:rPr>
          <w:b/>
        </w:rPr>
        <w:t xml:space="preserve">Deal Analytics</w:t>
      </w:r>
      <w:r>
        <w:t xml:space="preserve">: Time-on-page analytics, document comparison heat maps, and activity alerts. Sellers can see buyer interest signals in real-time</w:t>
      </w:r>
    </w:p>
    <w:p>
      <w:pPr>
        <w:pStyle w:val="ListBullet"/>
      </w:pPr>
      <w:r>
        <w:t xml:space="preserve">• </w:t>
      </w:r>
      <w:r>
        <w:rPr>
          <w:b/>
        </w:rPr>
        <w:t xml:space="preserve">Integrations</w:t>
      </w:r>
      <w:r>
        <w:t xml:space="preserve">: NetDocuments, iManage, SharePoint, Box, DocuSign, and all major e-signature platforms</w:t>
      </w:r>
    </w:p>
    <w:p>
      <w:pPr>
        <w:spacing w:after="0" w:line="120" w:lineRule="auto"/>
      </w:pPr>
    </w:p>
    <w:p>
      <w:pPr>
        <w:pStyle w:val="HorizontalRule"/>
      </w:pPr>
    </w:p>
    <w:p>
      <w:pPr>
        <w:spacing w:after="0" w:line="120" w:lineRule="auto"/>
      </w:pPr>
    </w:p>
    <w:p>
      <w:pPr>
        <w:pStyle w:val="Heading2"/>
      </w:pPr>
      <w:r>
        <w:t xml:space="preserve">Slide 7: Business Model</w:t>
      </w:r>
    </w:p>
    <w:p>
      <w:pPr>
        <w:pStyle w:val="ListBullet"/>
      </w:pPr>
      <w:r>
        <w:t xml:space="preserve">• </w:t>
      </w:r>
      <w:r>
        <w:rPr>
          <w:b/>
        </w:rPr>
        <w:t xml:space="preserve">Per-deal pricing</w:t>
      </w:r>
      <w:r>
        <w:t xml:space="preserve">: $4,500/deal (standard), $8,500/deal (enterprise), $15,000+/deal (mega-deals &gt;$1B)</w:t>
      </w:r>
    </w:p>
    <w:p>
      <w:pPr>
        <w:pStyle w:val="ListBullet"/>
      </w:pPr>
      <w:r>
        <w:t xml:space="preserve">• </w:t>
      </w:r>
      <w:r>
        <w:rPr>
          <w:b/>
        </w:rPr>
        <w:t xml:space="preserve">Law firm subscription</w:t>
      </w:r>
      <w:r>
        <w:t xml:space="preserve">: $6,300/mo for unlimited deals (up to 50 concurrent rooms). Avg firm runs 34 concurrent rooms</w:t>
      </w:r>
    </w:p>
    <w:p>
      <w:pPr>
        <w:pStyle w:val="ListBullet"/>
      </w:pPr>
      <w:r>
        <w:t xml:space="preserve">• </w:t>
      </w:r>
      <w:r>
        <w:t xml:space="preserve">82% of revenue is from law firm subscriptions, 18% from per-deal</w:t>
      </w:r>
    </w:p>
    <w:p>
      <w:pPr>
        <w:pStyle w:val="ListBullet"/>
      </w:pPr>
      <w:r>
        <w:t xml:space="preserve">• </w:t>
      </w:r>
      <w:r>
        <w:rPr>
          <w:b/>
        </w:rPr>
        <w:t xml:space="preserve">ACV</w:t>
      </w:r>
      <w:r>
        <w:t xml:space="preserve">: $76,000 (subscription clients)</w:t>
      </w:r>
    </w:p>
    <w:p>
      <w:pPr>
        <w:pStyle w:val="ListBullet"/>
      </w:pPr>
      <w:r>
        <w:t xml:space="preserve">• </w:t>
      </w:r>
      <w:r>
        <w:rPr>
          <w:b/>
        </w:rPr>
        <w:t xml:space="preserve">Gross margin</w:t>
      </w:r>
      <w:r>
        <w:t xml:space="preserve">: 84% (cloud infrastructure, AI processing, and security costs)</w:t>
      </w:r>
    </w:p>
    <w:p>
      <w:pPr>
        <w:pStyle w:val="ListBullet"/>
      </w:pPr>
      <w:r>
        <w:t xml:space="preserve">• </w:t>
      </w:r>
      <w:r>
        <w:rPr>
          <w:b/>
        </w:rPr>
        <w:t xml:space="preserve">Sales cycle</w:t>
      </w:r>
      <w:r>
        <w:t xml:space="preserve">: 97 days average from first meeting to signed contract (law firms have complex procurement)</w:t>
      </w:r>
    </w:p>
    <w:p>
      <w:pPr>
        <w:spacing w:after="0" w:line="120" w:lineRule="auto"/>
      </w:pPr>
    </w:p>
    <w:p>
      <w:pPr>
        <w:pStyle w:val="HorizontalRule"/>
      </w:pPr>
    </w:p>
    <w:p>
      <w:pPr>
        <w:spacing w:after="0" w:line="120" w:lineRule="auto"/>
      </w:pPr>
    </w:p>
    <w:p>
      <w:pPr>
        <w:pStyle w:val="Heading2"/>
      </w:pPr>
      <w:r>
        <w:t xml:space="preserve">Slide 8: Traction</w:t>
      </w:r>
    </w:p>
    <w:p>
      <w:pPr>
        <w:pStyle w:val="ListBullet"/>
      </w:pPr>
      <w:r>
        <w:t xml:space="preserve">• </w:t>
      </w:r>
      <w:r>
        <w:rPr>
          <w:b/>
        </w:rPr>
        <w:t xml:space="preserve">ARR</w:t>
      </w:r>
      <w:r>
        <w:t xml:space="preserve">: $5.1M (as of January 2026)</w:t>
      </w:r>
    </w:p>
    <w:p>
      <w:pPr>
        <w:pStyle w:val="ListBullet"/>
      </w:pPr>
      <w:r>
        <w:t xml:space="preserve">• </w:t>
      </w:r>
      <w:r>
        <w:rPr>
          <w:b/>
        </w:rPr>
        <w:t xml:space="preserve">Growth</w:t>
      </w:r>
      <w:r>
        <w:t xml:space="preserve">: $1.3M ARR in January 2025 -&gt; $5.1M in January 2026 (292% YoY)</w:t>
      </w:r>
    </w:p>
    <w:p>
      <w:pPr>
        <w:pStyle w:val="ListBullet"/>
      </w:pPr>
      <w:r>
        <w:t xml:space="preserve">• </w:t>
      </w:r>
      <w:r>
        <w:rPr>
          <w:b/>
        </w:rPr>
        <w:t xml:space="preserve">NRR</w:t>
      </w:r>
      <w:r>
        <w:t xml:space="preserve">: 156% — driven by firms expanding from 1-2 practice groups to firm-wide deployment</w:t>
      </w:r>
    </w:p>
    <w:p>
      <w:pPr>
        <w:pStyle w:val="ListBullet"/>
      </w:pPr>
      <w:r>
        <w:t xml:space="preserve">• </w:t>
      </w:r>
      <w:r>
        <w:rPr>
          <w:b/>
        </w:rPr>
        <w:t xml:space="preserve">Clients</w:t>
      </w:r>
      <w:r>
        <w:t xml:space="preserve">: 67 law firm clients (54 Am Law 200, 8 Magic Circle/international, 5 boutique advisories)</w:t>
      </w:r>
    </w:p>
    <w:p>
      <w:pPr>
        <w:pStyle w:val="ListBullet"/>
      </w:pPr>
      <w:r>
        <w:t xml:space="preserve">• </w:t>
      </w:r>
      <w:r>
        <w:rPr>
          <w:b/>
        </w:rPr>
        <w:t xml:space="preserve">Rooms created</w:t>
      </w:r>
      <w:r>
        <w:t xml:space="preserve">: 4,200+ cumulative</w:t>
      </w:r>
    </w:p>
    <w:p>
      <w:pPr>
        <w:pStyle w:val="ListBullet"/>
      </w:pPr>
      <w:r>
        <w:t xml:space="preserve">• </w:t>
      </w:r>
      <w:r>
        <w:rPr>
          <w:b/>
        </w:rPr>
        <w:t xml:space="preserve">Documents processed</w:t>
      </w:r>
      <w:r>
        <w:t xml:space="preserve">: 18.7M pages across all rooms</w:t>
      </w:r>
    </w:p>
    <w:p>
      <w:pPr>
        <w:pStyle w:val="ListBullet"/>
      </w:pPr>
      <w:r>
        <w:t xml:space="preserve">• </w:t>
      </w:r>
      <w:r>
        <w:rPr>
          <w:b/>
        </w:rPr>
        <w:t xml:space="preserve">VERTICAL CONCENTRATION</w:t>
      </w:r>
      <w:r>
        <w:t xml:space="preserve">: 92% of revenue from law firms. Corporate buyers (PE firms, investment banks) represent only 8% — we haven't cracked direct-to-corporate yet</w:t>
      </w:r>
    </w:p>
    <w:p>
      <w:pPr>
        <w:pStyle w:val="ListBullet"/>
      </w:pPr>
      <w:r>
        <w:t xml:space="preserve">• </w:t>
      </w:r>
      <w:r>
        <w:rPr>
          <w:b/>
        </w:rPr>
        <w:t xml:space="preserve">Logo retention</w:t>
      </w:r>
      <w:r>
        <w:t xml:space="preserve">: 98.5% (lost 1 client — firm dissolved in 2025)</w:t>
      </w:r>
    </w:p>
    <w:p>
      <w:pPr>
        <w:pStyle w:val="ListBullet"/>
      </w:pPr>
      <w:r>
        <w:t xml:space="preserve">• </w:t>
      </w:r>
      <w:r>
        <w:rPr>
          <w:b/>
        </w:rPr>
        <w:t xml:space="preserve">Deal references</w:t>
      </w:r>
      <w:r>
        <w:t xml:space="preserve">: Used in 3 of the top 20 largest M&amp;A transactions of 2025 (by deal value)</w:t>
      </w:r>
    </w:p>
    <w:p>
      <w:pPr>
        <w:spacing w:after="0" w:line="120" w:lineRule="auto"/>
      </w:pPr>
    </w:p>
    <w:p>
      <w:pPr>
        <w:pStyle w:val="HorizontalRule"/>
      </w:pPr>
    </w:p>
    <w:p>
      <w:pPr>
        <w:spacing w:after="0" w:line="120" w:lineRule="auto"/>
      </w:pPr>
    </w:p>
    <w:p>
      <w:pPr>
        <w:pStyle w:val="Heading2"/>
      </w:pPr>
      <w:r>
        <w:t xml:space="preserve">Slide 9: Competition</w:t>
      </w:r>
    </w:p>
    <w:tbl>
      <w:tblPr>
        <w:tblW w:w="900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r>
        <w:tc>
          <w:tcPr>
            <w:tcW w:w="1500" w:type="dxa"/>
            <w:shd w:val="clear" w:color="auto" w:fill="2E75B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 xml:space="preserve">Feature</w:t>
            </w:r>
          </w:p>
        </w:tc>
        <w:tc>
          <w:tcPr>
            <w:tcW w:w="1500" w:type="dxa"/>
            <w:shd w:val="clear" w:color="auto" w:fill="2E75B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 xml:space="preserve">VaultSync</w:t>
            </w:r>
          </w:p>
        </w:tc>
        <w:tc>
          <w:tcPr>
            <w:tcW w:w="1500" w:type="dxa"/>
            <w:shd w:val="clear" w:color="auto" w:fill="2E75B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 xml:space="preserve">Intralinks (SS&amp;C)</w:t>
            </w:r>
          </w:p>
        </w:tc>
        <w:tc>
          <w:tcPr>
            <w:tcW w:w="1500" w:type="dxa"/>
            <w:shd w:val="clear" w:color="auto" w:fill="2E75B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 xml:space="preserve">Datasite (Merrill)</w:t>
            </w:r>
          </w:p>
        </w:tc>
        <w:tc>
          <w:tcPr>
            <w:tcW w:w="1500" w:type="dxa"/>
            <w:shd w:val="clear" w:color="auto" w:fill="2E75B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 xml:space="preserve">Firmex</w:t>
            </w:r>
          </w:p>
        </w:tc>
        <w:tc>
          <w:tcPr>
            <w:tcW w:w="1500" w:type="dxa"/>
            <w:shd w:val="clear" w:color="auto" w:fill="2E75B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 xml:space="preserve">Ansarada</w:t>
            </w:r>
          </w:p>
        </w:tc>
      </w:tr>
      <w:tr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Zero-Trust Architecture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Yes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No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No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No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Partial</w:t>
            </w:r>
          </w:p>
        </w:tc>
      </w:tr>
      <w:tr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AI Document Organization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Yes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No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Basic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No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Yes</w:t>
            </w:r>
          </w:p>
        </w:tc>
      </w:tr>
      <w:tr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Forensic Watermarking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Yes (invisible, per-session)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Basic (visible only)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Basic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Basic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Basic</w:t>
            </w:r>
          </w:p>
        </w:tc>
      </w:tr>
      <w:tr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Smart Redaction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Yes (AI)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Manual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Manual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No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No</w:t>
            </w:r>
          </w:p>
        </w:tc>
      </w:tr>
      <w:tr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Setup Time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4 hours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1-2 weeks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1-2 weeks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3-5 days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2-3 days</w:t>
            </w:r>
          </w:p>
        </w:tc>
      </w:tr>
      <w:tr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Deal Analytics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Advanced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Basic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Moderate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Basic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Moderate</w:t>
            </w:r>
          </w:p>
        </w:tc>
      </w:tr>
      <w:tr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Pricing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$4,500-15K/deal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$15K-50K/deal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$15K-40K/deal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$5K-15K/deal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$8K-25K/deal</w:t>
            </w:r>
          </w:p>
        </w:tc>
      </w:tr>
      <w:tr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NPS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78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32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38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45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52</w:t>
            </w:r>
          </w:p>
        </w:tc>
      </w:tr>
    </w:tbl>
    <w:p>
      <w:pPr>
        <w:spacing w:after="0" w:line="120" w:lineRule="auto"/>
      </w:pPr>
    </w:p>
    <w:p>
      <w:r>
        <w:t xml:space="preserve">Intralinks and Datasite have 70%+ market share but are 15+ years old, slow to innovate, and widely disliked by users. We win on security, speed, and UX.</w:t>
      </w:r>
    </w:p>
    <w:p>
      <w:pPr>
        <w:spacing w:after="0" w:line="120" w:lineRule="auto"/>
      </w:pPr>
    </w:p>
    <w:p>
      <w:pPr>
        <w:pStyle w:val="HorizontalRule"/>
      </w:pPr>
    </w:p>
    <w:p>
      <w:pPr>
        <w:spacing w:after="0" w:line="120" w:lineRule="auto"/>
      </w:pPr>
    </w:p>
    <w:p>
      <w:pPr>
        <w:pStyle w:val="Heading2"/>
      </w:pPr>
      <w:r>
        <w:t xml:space="preserve">Slide 10: Team</w:t>
      </w:r>
    </w:p>
    <w:p>
      <w:pPr>
        <w:pStyle w:val="ListBullet"/>
      </w:pPr>
      <w:r>
        <w:t xml:space="preserve">• </w:t>
      </w:r>
      <w:r>
        <w:rPr>
          <w:b/>
        </w:rPr>
        <w:t xml:space="preserve">CEO/Co-founder</w:t>
      </w:r>
      <w:r>
        <w:t xml:space="preserve">: Catherine Park — Ex-M&amp;A Partner at Sullivan &amp; Cromwell (8 years). Closed $40B+ in transactions. Managed hundreds of data rooms. JD Columbia Law, BA Economics Princeton</w:t>
      </w:r>
    </w:p>
    <w:p>
      <w:pPr>
        <w:pStyle w:val="ListBullet"/>
      </w:pPr>
      <w:r>
        <w:t xml:space="preserve">• </w:t>
      </w:r>
      <w:r>
        <w:rPr>
          <w:b/>
        </w:rPr>
        <w:t xml:space="preserve">CTO/Co-founder</w:t>
      </w:r>
      <w:r>
        <w:t xml:space="preserve">: Dmitri Volkov — Ex-Principal Security Engineer at CrowdStrike (zero-trust division, 2018-2022). Previously at NSA (5 years, cleared). MS Cybersecurity, Georgia Tech</w:t>
      </w:r>
    </w:p>
    <w:p>
      <w:pPr>
        <w:pStyle w:val="ListBullet"/>
      </w:pPr>
      <w:r>
        <w:t xml:space="preserve">• </w:t>
      </w:r>
      <w:r>
        <w:rPr>
          <w:b/>
        </w:rPr>
        <w:t xml:space="preserve">VP Sales</w:t>
      </w:r>
      <w:r>
        <w:t xml:space="preserve">: Brian Callahan — Ex-Director of Sales at Relativity (e-discovery platform). Sold into Am Law 100 for 9 years. Built team from 4 to 28 AEs</w:t>
      </w:r>
    </w:p>
    <w:p>
      <w:pPr>
        <w:pStyle w:val="ListBullet"/>
      </w:pPr>
      <w:r>
        <w:t xml:space="preserve">• </w:t>
      </w:r>
      <w:r>
        <w:rPr>
          <w:b/>
        </w:rPr>
        <w:t xml:space="preserve">VP Product</w:t>
      </w:r>
      <w:r>
        <w:t xml:space="preserve">: Aisha Patel — Ex-Senior PM at Datasite (2019-2023). Led data room product line. Knows legacy product weaknesses intimately</w:t>
      </w:r>
    </w:p>
    <w:p>
      <w:pPr>
        <w:pStyle w:val="ListBullet"/>
      </w:pPr>
      <w:r>
        <w:t xml:space="preserve">• </w:t>
      </w:r>
      <w:r>
        <w:rPr>
          <w:b/>
        </w:rPr>
        <w:t xml:space="preserve">Head of AI</w:t>
      </w:r>
      <w:r>
        <w:t xml:space="preserve">: Dr. Ling Chen — Ex-Research Scientist at OpenAI (document understanding). PhD NLP, University of Washington</w:t>
      </w:r>
    </w:p>
    <w:p>
      <w:pPr>
        <w:pStyle w:val="ListBullet"/>
      </w:pPr>
      <w:r>
        <w:t xml:space="preserve">• </w:t>
      </w:r>
      <w:r>
        <w:t xml:space="preserve">38 employees: 18 engineering (incl. 4 security engineers), 8 sales, 4 product, 4 customer success, 4 G&amp;A</w:t>
      </w:r>
    </w:p>
    <w:p>
      <w:pPr>
        <w:spacing w:after="0" w:line="120" w:lineRule="auto"/>
      </w:pPr>
    </w:p>
    <w:p>
      <w:pPr>
        <w:pStyle w:val="HorizontalRule"/>
      </w:pPr>
    </w:p>
    <w:p>
      <w:pPr>
        <w:spacing w:after="0" w:line="120" w:lineRule="auto"/>
      </w:pPr>
    </w:p>
    <w:p>
      <w:pPr>
        <w:pStyle w:val="Heading2"/>
      </w:pPr>
      <w:r>
        <w:t xml:space="preserve">Slide 11: Financials</w:t>
      </w:r>
    </w:p>
    <w:tbl>
      <w:tblPr>
        <w:tblW w:w="900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r>
        <w:tc>
          <w:tcPr>
            <w:tcW w:w="1285" w:type="dxa"/>
            <w:shd w:val="clear" w:color="auto" w:fill="2E75B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 xml:space="preserve">Metric</w:t>
            </w:r>
          </w:p>
        </w:tc>
        <w:tc>
          <w:tcPr>
            <w:tcW w:w="1285" w:type="dxa"/>
            <w:shd w:val="clear" w:color="auto" w:fill="2E75B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 xml:space="preserve">2023A</w:t>
            </w:r>
          </w:p>
        </w:tc>
        <w:tc>
          <w:tcPr>
            <w:tcW w:w="1285" w:type="dxa"/>
            <w:shd w:val="clear" w:color="auto" w:fill="2E75B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 xml:space="preserve">2024A</w:t>
            </w:r>
          </w:p>
        </w:tc>
        <w:tc>
          <w:tcPr>
            <w:tcW w:w="1285" w:type="dxa"/>
            <w:shd w:val="clear" w:color="auto" w:fill="2E75B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 xml:space="preserve">2025A</w:t>
            </w:r>
          </w:p>
        </w:tc>
        <w:tc>
          <w:tcPr>
            <w:tcW w:w="1285" w:type="dxa"/>
            <w:shd w:val="clear" w:color="auto" w:fill="2E75B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 xml:space="preserve">2026E</w:t>
            </w:r>
          </w:p>
        </w:tc>
        <w:tc>
          <w:tcPr>
            <w:tcW w:w="1285" w:type="dxa"/>
            <w:shd w:val="clear" w:color="auto" w:fill="2E75B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 xml:space="preserve">2027E</w:t>
            </w:r>
          </w:p>
        </w:tc>
        <w:tc>
          <w:tcPr>
            <w:tcW w:w="1285" w:type="dxa"/>
            <w:shd w:val="clear" w:color="auto" w:fill="2E75B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 xml:space="preserve">2028E</w:t>
            </w:r>
          </w:p>
        </w:tc>
      </w:tr>
      <w:tr>
        <w:tc>
          <w:tcPr>
            <w:tcW w:w="1285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ARR</w:t>
            </w:r>
          </w:p>
        </w:tc>
        <w:tc>
          <w:tcPr>
            <w:tcW w:w="1285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$0.2M</w:t>
            </w:r>
          </w:p>
        </w:tc>
        <w:tc>
          <w:tcPr>
            <w:tcW w:w="1285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$1.3M</w:t>
            </w:r>
          </w:p>
        </w:tc>
        <w:tc>
          <w:tcPr>
            <w:tcW w:w="1285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$5.1M</w:t>
            </w:r>
          </w:p>
        </w:tc>
        <w:tc>
          <w:tcPr>
            <w:tcW w:w="1285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$15M</w:t>
            </w:r>
          </w:p>
        </w:tc>
        <w:tc>
          <w:tcPr>
            <w:tcW w:w="1285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$35M</w:t>
            </w:r>
          </w:p>
        </w:tc>
        <w:tc>
          <w:tcPr>
            <w:tcW w:w="1285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$65M</w:t>
            </w:r>
          </w:p>
        </w:tc>
      </w:tr>
      <w:tr>
        <w:tc>
          <w:tcPr>
            <w:tcW w:w="1285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Revenue</w:t>
            </w:r>
          </w:p>
        </w:tc>
        <w:tc>
          <w:tcPr>
            <w:tcW w:w="1285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$0.1M</w:t>
            </w:r>
          </w:p>
        </w:tc>
        <w:tc>
          <w:tcPr>
            <w:tcW w:w="1285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$0.9M</w:t>
            </w:r>
          </w:p>
        </w:tc>
        <w:tc>
          <w:tcPr>
            <w:tcW w:w="1285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$4.3M</w:t>
            </w:r>
          </w:p>
        </w:tc>
        <w:tc>
          <w:tcPr>
            <w:tcW w:w="1285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$13M</w:t>
            </w:r>
          </w:p>
        </w:tc>
        <w:tc>
          <w:tcPr>
            <w:tcW w:w="1285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$30M</w:t>
            </w:r>
          </w:p>
        </w:tc>
        <w:tc>
          <w:tcPr>
            <w:tcW w:w="1285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$58M</w:t>
            </w:r>
          </w:p>
        </w:tc>
      </w:tr>
      <w:tr>
        <w:tc>
          <w:tcPr>
            <w:tcW w:w="1285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Gross Margin</w:t>
            </w:r>
          </w:p>
        </w:tc>
        <w:tc>
          <w:tcPr>
            <w:tcW w:w="1285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78%</w:t>
            </w:r>
          </w:p>
        </w:tc>
        <w:tc>
          <w:tcPr>
            <w:tcW w:w="1285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81%</w:t>
            </w:r>
          </w:p>
        </w:tc>
        <w:tc>
          <w:tcPr>
            <w:tcW w:w="1285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84%</w:t>
            </w:r>
          </w:p>
        </w:tc>
        <w:tc>
          <w:tcPr>
            <w:tcW w:w="1285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85%</w:t>
            </w:r>
          </w:p>
        </w:tc>
        <w:tc>
          <w:tcPr>
            <w:tcW w:w="1285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86%</w:t>
            </w:r>
          </w:p>
        </w:tc>
        <w:tc>
          <w:tcPr>
            <w:tcW w:w="1285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87%</w:t>
            </w:r>
          </w:p>
        </w:tc>
      </w:tr>
      <w:tr>
        <w:tc>
          <w:tcPr>
            <w:tcW w:w="1285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Clients</w:t>
            </w:r>
          </w:p>
        </w:tc>
        <w:tc>
          <w:tcPr>
            <w:tcW w:w="1285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8</w:t>
            </w:r>
          </w:p>
        </w:tc>
        <w:tc>
          <w:tcPr>
            <w:tcW w:w="1285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28</w:t>
            </w:r>
          </w:p>
        </w:tc>
        <w:tc>
          <w:tcPr>
            <w:tcW w:w="1285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67</w:t>
            </w:r>
          </w:p>
        </w:tc>
        <w:tc>
          <w:tcPr>
            <w:tcW w:w="1285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140</w:t>
            </w:r>
          </w:p>
        </w:tc>
        <w:tc>
          <w:tcPr>
            <w:tcW w:w="1285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260</w:t>
            </w:r>
          </w:p>
        </w:tc>
        <w:tc>
          <w:tcPr>
            <w:tcW w:w="1285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420</w:t>
            </w:r>
          </w:p>
        </w:tc>
      </w:tr>
      <w:tr>
        <w:tc>
          <w:tcPr>
            <w:tcW w:w="1285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Avg ACV</w:t>
            </w:r>
          </w:p>
        </w:tc>
        <w:tc>
          <w:tcPr>
            <w:tcW w:w="1285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$25K</w:t>
            </w:r>
          </w:p>
        </w:tc>
        <w:tc>
          <w:tcPr>
            <w:tcW w:w="1285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$46K</w:t>
            </w:r>
          </w:p>
        </w:tc>
        <w:tc>
          <w:tcPr>
            <w:tcW w:w="1285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$76K</w:t>
            </w:r>
          </w:p>
        </w:tc>
        <w:tc>
          <w:tcPr>
            <w:tcW w:w="1285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$107K</w:t>
            </w:r>
          </w:p>
        </w:tc>
        <w:tc>
          <w:tcPr>
            <w:tcW w:w="1285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$135K</w:t>
            </w:r>
          </w:p>
        </w:tc>
        <w:tc>
          <w:tcPr>
            <w:tcW w:w="1285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$155K</w:t>
            </w:r>
          </w:p>
        </w:tc>
      </w:tr>
      <w:tr>
        <w:tc>
          <w:tcPr>
            <w:tcW w:w="1285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Sales Cycle (days)</w:t>
            </w:r>
          </w:p>
        </w:tc>
        <w:tc>
          <w:tcPr>
            <w:tcW w:w="1285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120</w:t>
            </w:r>
          </w:p>
        </w:tc>
        <w:tc>
          <w:tcPr>
            <w:tcW w:w="1285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105</w:t>
            </w:r>
          </w:p>
        </w:tc>
        <w:tc>
          <w:tcPr>
            <w:tcW w:w="1285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97</w:t>
            </w:r>
          </w:p>
        </w:tc>
        <w:tc>
          <w:tcPr>
            <w:tcW w:w="1285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85</w:t>
            </w:r>
          </w:p>
        </w:tc>
        <w:tc>
          <w:tcPr>
            <w:tcW w:w="1285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75</w:t>
            </w:r>
          </w:p>
        </w:tc>
        <w:tc>
          <w:tcPr>
            <w:tcW w:w="1285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70</w:t>
            </w:r>
          </w:p>
        </w:tc>
      </w:tr>
      <w:tr>
        <w:tc>
          <w:tcPr>
            <w:tcW w:w="1285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Burn Rate/mo</w:t>
            </w:r>
          </w:p>
        </w:tc>
        <w:tc>
          <w:tcPr>
            <w:tcW w:w="1285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$150K</w:t>
            </w:r>
          </w:p>
        </w:tc>
        <w:tc>
          <w:tcPr>
            <w:tcW w:w="1285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$280K</w:t>
            </w:r>
          </w:p>
        </w:tc>
        <w:tc>
          <w:tcPr>
            <w:tcW w:w="1285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$420K</w:t>
            </w:r>
          </w:p>
        </w:tc>
        <w:tc>
          <w:tcPr>
            <w:tcW w:w="1285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$550K</w:t>
            </w:r>
          </w:p>
        </w:tc>
        <w:tc>
          <w:tcPr>
            <w:tcW w:w="1285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$400K</w:t>
            </w:r>
          </w:p>
        </w:tc>
        <w:tc>
          <w:tcPr>
            <w:tcW w:w="1285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Breakeven</w:t>
            </w:r>
          </w:p>
        </w:tc>
      </w:tr>
      <w:tr>
        <w:tc>
          <w:tcPr>
            <w:tcW w:w="1285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Cash on Hand</w:t>
            </w:r>
          </w:p>
        </w:tc>
        <w:tc>
          <w:tcPr>
            <w:tcW w:w="1285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$1.8M</w:t>
            </w:r>
          </w:p>
        </w:tc>
        <w:tc>
          <w:tcPr>
            <w:tcW w:w="1285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$4.2M*</w:t>
            </w:r>
          </w:p>
        </w:tc>
        <w:tc>
          <w:tcPr>
            <w:tcW w:w="1285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$3.1M</w:t>
            </w:r>
          </w:p>
        </w:tc>
        <w:tc>
          <w:tcPr>
            <w:tcW w:w="1285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$17.1M**</w:t>
            </w:r>
          </w:p>
        </w:tc>
        <w:tc>
          <w:tcPr>
            <w:tcW w:w="1285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$12.1M</w:t>
            </w:r>
          </w:p>
        </w:tc>
        <w:tc>
          <w:tcPr>
            <w:tcW w:w="1285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$12M</w:t>
            </w:r>
          </w:p>
        </w:tc>
      </w:tr>
    </w:tbl>
    <w:p>
      <w:pPr>
        <w:spacing w:after="0" w:line="120" w:lineRule="auto"/>
      </w:pPr>
    </w:p>
    <w:p>
      <w:r>
        <w:t xml:space="preserve">*Includes $3.5M seed round (2024)</w:t>
      </w:r>
    </w:p>
    <w:p>
      <w:r>
        <w:t xml:space="preserve">*</w:t>
      </w:r>
      <w:r>
        <w:t xml:space="preserve">*Includes $15M Series A proceeds</w:t>
      </w:r>
    </w:p>
    <w:p>
      <w:pPr>
        <w:spacing w:after="0" w:line="120" w:lineRule="auto"/>
      </w:pPr>
    </w:p>
    <w:p>
      <w:pPr>
        <w:pStyle w:val="HorizontalRule"/>
      </w:pPr>
    </w:p>
    <w:p>
      <w:pPr>
        <w:spacing w:after="0" w:line="120" w:lineRule="auto"/>
      </w:pPr>
    </w:p>
    <w:p>
      <w:pPr>
        <w:pStyle w:val="Heading2"/>
      </w:pPr>
      <w:r>
        <w:t xml:space="preserve">Slide 12: The Ask</w:t>
      </w:r>
    </w:p>
    <w:p>
      <w:pPr>
        <w:pStyle w:val="ListBullet"/>
      </w:pPr>
      <w:r>
        <w:t xml:space="preserve">• </w:t>
      </w:r>
      <w:r>
        <w:rPr>
          <w:b/>
        </w:rPr>
        <w:t xml:space="preserve">Raising</w:t>
      </w:r>
      <w:r>
        <w:t xml:space="preserve">: $15 million Series A</w:t>
      </w:r>
    </w:p>
    <w:p>
      <w:pPr>
        <w:pStyle w:val="ListBullet"/>
      </w:pPr>
      <w:r>
        <w:t xml:space="preserve">• </w:t>
      </w:r>
      <w:r>
        <w:rPr>
          <w:b/>
        </w:rPr>
        <w:t xml:space="preserve">Pre-money valuation</w:t>
      </w:r>
      <w:r>
        <w:t xml:space="preserve">: $65 million (12.7x trailing ARR)</w:t>
      </w:r>
    </w:p>
    <w:p>
      <w:pPr>
        <w:pStyle w:val="ListBullet"/>
      </w:pPr>
      <w:r>
        <w:t xml:space="preserve">• </w:t>
      </w:r>
      <w:r>
        <w:rPr>
          <w:b/>
        </w:rPr>
        <w:t xml:space="preserve">Use of funds</w:t>
      </w:r>
      <w:r>
        <w:t xml:space="preserve">:</w:t>
      </w:r>
    </w:p>
    <w:p>
      <w:pPr>
        <w:pStyle w:val="ListBullet"/>
      </w:pPr>
      <w:r>
        <w:t xml:space="preserve">• </w:t>
      </w:r>
      <w:r>
        <w:t xml:space="preserve">35% — Engineering (scale zero-trust platform, expand AI capabilities, build PE/IB-specific features)</w:t>
      </w:r>
    </w:p>
    <w:p>
      <w:pPr>
        <w:pStyle w:val="ListBullet"/>
      </w:pPr>
      <w:r>
        <w:t xml:space="preserve">• </w:t>
      </w:r>
      <w:r>
        <w:t xml:space="preserve">30% — Sales (expand from 8 to 20 AEs, build channel partnerships with legal tech consultants)</w:t>
      </w:r>
    </w:p>
    <w:p>
      <w:pPr>
        <w:pStyle w:val="ListBullet"/>
      </w:pPr>
      <w:r>
        <w:t xml:space="preserve">• </w:t>
      </w:r>
      <w:r>
        <w:t xml:space="preserve">15% — Product (corporate buyer experience, international deal support, multi-language redaction)</w:t>
      </w:r>
    </w:p>
    <w:p>
      <w:pPr>
        <w:pStyle w:val="ListBullet"/>
      </w:pPr>
      <w:r>
        <w:t xml:space="preserve">• </w:t>
      </w:r>
      <w:r>
        <w:t xml:space="preserve">10% — Customer success (reduce onboarding time, build self-serve for mid-market)</w:t>
      </w:r>
    </w:p>
    <w:p>
      <w:pPr>
        <w:pStyle w:val="ListBullet"/>
      </w:pPr>
      <w:r>
        <w:t xml:space="preserve">• </w:t>
      </w:r>
      <w:r>
        <w:t xml:space="preserve">10% — G&amp;A, security certifications (SOC 2 Type II renewal, ISO 27001, FedRAMP in progress)</w:t>
      </w:r>
    </w:p>
    <w:p>
      <w:pPr>
        <w:pStyle w:val="ListBullet"/>
      </w:pPr>
      <w:r>
        <w:t xml:space="preserve">• </w:t>
      </w:r>
      <w:r>
        <w:rPr>
          <w:b/>
        </w:rPr>
        <w:t xml:space="preserve">18-month milestones</w:t>
      </w:r>
      <w:r>
        <w:t xml:space="preserve">: $15M ARR, 140+ clients, expand beyond law firms to PE firms and investment banks (target: 25% of revenue from non-law-firm clients)</w:t>
      </w:r>
    </w:p>
    <w:p>
      <w:pPr>
        <w:spacing w:after="0" w:line="120" w:lineRule="auto"/>
      </w:pPr>
    </w:p>
    <w:p>
      <w:pPr>
        <w:pStyle w:val="HorizontalRule"/>
      </w:pPr>
    </w:p>
    <w:p>
      <w:pPr>
        <w:spacing w:after="0" w:line="120" w:lineRule="auto"/>
      </w:pPr>
    </w:p>
    <w:p>
      <w:pPr>
        <w:pStyle w:val="Heading2"/>
      </w:pPr>
      <w:r>
        <w:t xml:space="preserve">Slide 13: Strategic Considerations</w:t>
      </w:r>
    </w:p>
    <w:p>
      <w:pPr>
        <w:pStyle w:val="ListBullet"/>
      </w:pPr>
      <w:r>
        <w:t xml:space="preserve">• </w:t>
      </w:r>
      <w:r>
        <w:rPr>
          <w:b/>
        </w:rPr>
        <w:t xml:space="preserve">Why law firms first</w:t>
      </w:r>
      <w:r>
        <w:t xml:space="preserve">: Law firms are the natural entry point — they manage data rooms for every deal. Once a firm adopts VaultSync, they bring us into every transaction. This is a distribution advantage, not a limitation</w:t>
      </w:r>
    </w:p>
    <w:p>
      <w:pPr>
        <w:pStyle w:val="ListBullet"/>
      </w:pPr>
      <w:r>
        <w:t xml:space="preserve">• </w:t>
      </w:r>
      <w:r>
        <w:rPr>
          <w:b/>
        </w:rPr>
        <w:t xml:space="preserve">Vertical concentration risk (92% law firms)</w:t>
      </w:r>
      <w:r>
        <w:t xml:space="preserve">: We plan to expand to PE firms, investment banks, and corporate development teams. But we're honest: the sales motion is different. Law firms buy through relationship-driven sales; corporates buy through procurement. We need to build that muscle</w:t>
      </w:r>
    </w:p>
    <w:p>
      <w:pPr>
        <w:pStyle w:val="ListBullet"/>
      </w:pPr>
      <w:r>
        <w:t xml:space="preserve">• </w:t>
      </w:r>
      <w:r>
        <w:rPr>
          <w:b/>
        </w:rPr>
        <w:t xml:space="preserve">97-day sales cycle</w:t>
      </w:r>
      <w:r>
        <w:t xml:space="preserve">: Long by SaaS standards but short for legal tech (industry average: 140 days). We're investing in a self-serve pilot program to let firms try VaultSync on a single deal before committing firm-wide</w:t>
      </w:r>
    </w:p>
    <w:p>
      <w:pPr>
        <w:pStyle w:val="ListBullet"/>
      </w:pPr>
      <w:r>
        <w:t xml:space="preserve">• </w:t>
      </w:r>
      <w:r>
        <w:rPr>
          <w:b/>
        </w:rPr>
        <w:t xml:space="preserve">Expansion within accounts</w:t>
      </w:r>
      <w:r>
        <w:t xml:space="preserve">: Our 156% NRR shows the land-and-expand playbook works. Typical pattern: litigation practice group adopts first, then M&amp;A, then restructuring, then real estate</w:t>
      </w:r>
    </w:p>
    <w:p>
      <w:pPr>
        <w:pStyle w:val="ListBullet"/>
      </w:pPr>
      <w:r>
        <w:t xml:space="preserve">• </w:t>
      </w:r>
      <w:r>
        <w:rPr>
          <w:b/>
        </w:rPr>
        <w:t xml:space="preserve">Regulatory tailwind</w:t>
      </w:r>
      <w:r>
        <w:t xml:space="preserve">: EU DORA and NIST 2.0 zero-trust requirements are creating a compliance forcing function. Several prospects have told us their current data room provider won't pass their next security audit</w:t>
      </w:r>
    </w:p>
    <w:p>
      <w:pPr>
        <w:pStyle w:val="ListBullet"/>
      </w:pPr>
      <w:r>
        <w:t xml:space="preserve">• </w:t>
      </w:r>
      <w:r>
        <w:rPr>
          <w:b/>
        </w:rPr>
        <w:t xml:space="preserve">Platform risk</w:t>
      </w:r>
      <w:r>
        <w:t xml:space="preserve">: We rely on AWS for infrastructure with a secondary GCP deployment. No single-cloud dependency</w:t>
      </w:r>
    </w:p>
    <w:p>
      <w:pPr>
        <w:spacing w:after="0" w:line="120" w:lineRule="auto"/>
      </w:pP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</w:rPr>
    </w:rPrDefault>
    <w:pPrDefault>
      <w:pPr>
        <w:spacing w:after="120" w:line="276" w:lineRule="auto"/>
      </w:pPr>
    </w:pPrDefault>
  </w:docDefaults>
  <w:style w:type="paragraph" w:styleId="Normal">
    <w:name w:val="Normal"/>
    <w:qFormat/>
  </w:style>
  <w:style w:type="paragraph" w:styleId="Heading1">
    <w:name w:val="heading 1"/>
    <w:qFormat/>
    <w:pPr>
      <w:spacing w:before="360" w:after="120"/>
    </w:pPr>
    <w:rPr>
      <w:rFonts w:ascii="Calibri" w:hAnsi="Calibri"/>
      <w:b/>
      <w:color w:val="1F3864"/>
      <w:sz w:val="36"/>
      <w:szCs w:val="36"/>
    </w:rPr>
  </w:style>
  <w:style w:type="paragraph" w:styleId="Heading2">
    <w:name w:val="heading 2"/>
    <w:qFormat/>
    <w:pPr>
      <w:spacing w:before="240" w:after="80"/>
    </w:pPr>
    <w:rPr>
      <w:rFonts w:ascii="Calibri" w:hAnsi="Calibri"/>
      <w:b/>
      <w:color w:val="2E75B6"/>
      <w:sz w:val="28"/>
      <w:szCs w:val="28"/>
    </w:rPr>
  </w:style>
  <w:style w:type="paragraph" w:styleId="Heading3">
    <w:name w:val="heading 3"/>
    <w:qFormat/>
    <w:pPr>
      <w:spacing w:before="200" w:after="60"/>
    </w:pPr>
    <w:rPr>
      <w:rFonts w:ascii="Calibri" w:hAnsi="Calibri"/>
      <w:b/>
      <w:color w:val="404040"/>
      <w:sz w:val="24"/>
      <w:szCs w:val="24"/>
    </w:rPr>
  </w:style>
  <w:style w:type="paragraph" w:styleId="ListBullet">
    <w:name w:val="List Bullet"/>
    <w:pPr>
      <w:ind w:left="720" w:hanging="360"/>
      <w:spacing w:after="60"/>
    </w:pPr>
  </w:style>
  <w:style w:type="paragraph" w:styleId="HorizontalRule">
    <w:name w:val="Horizontal Rule"/>
    <w:pPr>
      <w:pBdr>
        <w:bottom w:val="single" w:sz="6" w:space="1" w:color="CCCCCC"/>
      </w:pBdr>
      <w:spacing w:before="120" w:after="120"/>
    </w:pPr>
    <w:rPr>
      <w:sz w:val="4"/>
    </w:rPr>
  </w:style>
</w:styles>
</file>

<file path=word/_rels/document.xml.rels><?xml version="1.0" encoding="UTF-8" standalone="yes"?>
<Relationships xmlns="http://schemas.openxmlformats.org/package/2006/relationships">
  <Relationship Id="rId1"
    Type="http://schemas.openxmlformats.org/officeDocument/2006/relationships/styles"
    Target="styles.xml"/>
</Relationships>
</file>