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 xml:space="preserve">SAFE (Simple Agreement for Future Equity)</w:t>
      </w:r>
    </w:p>
    <w:p>
      <w:pPr>
        <w:spacing w:after="0" w:line="120" w:lineRule="auto"/>
      </w:pPr>
    </w:p>
    <w:p>
      <w:pPr>
        <w:pStyle w:val="Heading2"/>
      </w:pPr>
      <w:r>
        <w:t xml:space="preserve">Carto Technologies, Inc.</w:t>
      </w:r>
    </w:p>
    <w:p>
      <w:pPr>
        <w:spacing w:after="0" w:line="120" w:lineRule="auto"/>
      </w:pPr>
    </w:p>
    <w:p>
      <w:r>
        <w:rPr>
          <w:b/>
        </w:rPr>
        <w:t xml:space="preserve">Date:</w:t>
      </w:r>
      <w:r>
        <w:t xml:space="preserve"> September 3, 2025</w:t>
      </w:r>
    </w:p>
    <w:p>
      <w:pPr>
        <w:spacing w:after="0" w:line="120" w:lineRule="auto"/>
      </w:pPr>
    </w:p>
    <w:p>
      <w:pPr>
        <w:pStyle w:val="HorizontalRule"/>
      </w:pPr>
    </w:p>
    <w:p>
      <w:pPr>
        <w:spacing w:after="0" w:line="120" w:lineRule="auto"/>
      </w:pPr>
    </w:p>
    <w:p>
      <w:r>
        <w:t xml:space="preserve">THIS CERTIFIES THAT in exchange for the payment by Outdoor Ventures LLC (the "Investor") of $200,000.00 (the "Purchase Amount") on or about September 3, 2025, Carto Technologies, Inc., a Delaware corporation (the "Company"), hereby issues to the Investor the right to certain shares of the Company's capital stock, subject to the terms set forth below.</w:t>
      </w:r>
    </w:p>
    <w:p>
      <w:pPr>
        <w:spacing w:after="0" w:line="120" w:lineRule="auto"/>
      </w:pPr>
    </w:p>
    <w:p>
      <w:r>
        <w:t xml:space="preserve">This Safe does not include a Post-Money Valuation Cap or a Discount Rate. The Investor is entitled to the benefit of the Most Favored Nation provision set forth in Section 4 below.</w:t>
      </w:r>
    </w:p>
    <w:p>
      <w:pPr>
        <w:spacing w:after="0" w:line="120" w:lineRule="auto"/>
      </w:pPr>
    </w:p>
    <w:p>
      <w:pPr>
        <w:pStyle w:val="HorizontalRule"/>
      </w:pPr>
    </w:p>
    <w:p>
      <w:pPr>
        <w:spacing w:after="0" w:line="120" w:lineRule="auto"/>
      </w:pPr>
    </w:p>
    <w:p>
      <w:pPr>
        <w:pStyle w:val="Heading3"/>
      </w:pPr>
      <w:r>
        <w:t xml:space="preserve">1. Events</w:t>
      </w:r>
    </w:p>
    <w:p>
      <w:pPr>
        <w:spacing w:after="0" w:line="120" w:lineRule="auto"/>
      </w:pPr>
    </w:p>
    <w:p>
      <w:r>
        <w:rPr>
          <w:b/>
        </w:rPr>
        <w:t xml:space="preserve">(a) Equity Financing.</w:t>
      </w:r>
      <w:r>
        <w:t xml:space="preserve"> If there is an Equity Financing before the termination of this Safe, on the initial closing of such Equity Financing, this Safe will automatically convert into the number of shares of Safe Preferred Stock equal to the Purchase Amount divided by the price per share of the Standard Preferred Stock sold in the Equity Financing.</w:t>
      </w:r>
    </w:p>
    <w:p>
      <w:pPr>
        <w:spacing w:after="0" w:line="120" w:lineRule="auto"/>
      </w:pPr>
    </w:p>
    <w:p>
      <w:r>
        <w:t xml:space="preserve">In connection with the automatic conversion of this Safe into shares of Safe Preferred Stock, the Investor will execute and deliver to the Company all of the transaction documents related to the Equity Financing; provided, that such documents (i) are the same documents to be entered into with the purchasers of Standard Preferred Stock, with appropriate variations for the Safe Preferred Stock if applicable, and (ii) have customary exceptions to any drag-along applicable to the Investor.</w:t>
      </w:r>
    </w:p>
    <w:p>
      <w:pPr>
        <w:spacing w:after="0" w:line="120" w:lineRule="auto"/>
      </w:pPr>
    </w:p>
    <w:p>
      <w:r>
        <w:rPr>
          <w:b/>
        </w:rPr>
        <w:t xml:space="preserve">(b) Liquidity Event.</w:t>
      </w:r>
      <w:r>
        <w:t xml:space="preserve"> If there is a Liquidity Event before the termination of this Safe, this Safe will automatically be entitled (subject to the liquidation priority set forth in Section 1(d) below) to receive a portion of Proceeds, due and payable to the Investor immediately prior to, or concurrent with, the consummation of such Liquidity Event, equal to the Purchase Amount.</w:t>
      </w:r>
    </w:p>
    <w:p>
      <w:pPr>
        <w:spacing w:after="0" w:line="120" w:lineRule="auto"/>
      </w:pPr>
    </w:p>
    <w:p>
      <w:r>
        <w:rPr>
          <w:b/>
        </w:rPr>
        <w:t xml:space="preserve">(c) Dissolution Event.</w:t>
      </w:r>
      <w:r>
        <w:t xml:space="preserve"> If there is a Dissolution Event before the termination of this Safe, the Company will pay an amount equal to the Purchase Amount, due and payable to the Investor immediately prior to the consummation of the Dissolution Event, subject to the rights and preferences of the holders of the Company's outstanding Preferred Stock, if any.</w:t>
      </w:r>
    </w:p>
    <w:p>
      <w:pPr>
        <w:spacing w:after="0" w:line="120" w:lineRule="auto"/>
      </w:pPr>
    </w:p>
    <w:p>
      <w:r>
        <w:rPr>
          <w:b/>
        </w:rPr>
        <w:t xml:space="preserve">(d) Liquidation Priority.</w:t>
      </w:r>
      <w:r>
        <w:t xml:space="preserve"> In a Liquidity Event or Dissolution Event, this Safe is intended to operate like standard non-participating Preferred Stock. The Investor's right to receive its Purchase Amount is:</w:t>
      </w:r>
    </w:p>
    <w:p>
      <w:pPr>
        <w:spacing w:after="0" w:line="120" w:lineRule="auto"/>
      </w:pPr>
    </w:p>
    <w:p>
      <w:r>
        <w:t xml:space="preserve">(i) Junior to payment of outstanding indebtedness and creditor claims;</w:t>
      </w:r>
    </w:p>
    <w:p>
      <w:pPr>
        <w:spacing w:after="0" w:line="120" w:lineRule="auto"/>
      </w:pPr>
    </w:p>
    <w:p>
      <w:r>
        <w:t xml:space="preserve">(ii) On par with payments for other Safes and/or Preferred Stock;</w:t>
      </w:r>
    </w:p>
    <w:p>
      <w:pPr>
        <w:spacing w:after="0" w:line="120" w:lineRule="auto"/>
      </w:pPr>
    </w:p>
    <w:p>
      <w:r>
        <w:t xml:space="preserve">(iii) Senior to payments for Common Stock.</w:t>
      </w:r>
    </w:p>
    <w:p>
      <w:pPr>
        <w:spacing w:after="0" w:line="120" w:lineRule="auto"/>
      </w:pPr>
    </w:p>
    <w:p>
      <w:pPr>
        <w:pStyle w:val="Heading3"/>
      </w:pPr>
      <w:r>
        <w:t xml:space="preserve">2. Definitions</w:t>
      </w:r>
    </w:p>
    <w:p>
      <w:pPr>
        <w:spacing w:after="0" w:line="120" w:lineRule="auto"/>
      </w:pPr>
    </w:p>
    <w:p>
      <w:r>
        <w:rPr>
          <w:b/>
        </w:rPr>
        <w:t xml:space="preserve">"Equity Financing"</w:t>
      </w:r>
      <w:r>
        <w:t xml:space="preserve"> means a bona fide transaction or series of transactions with the principal purpose of raising capital, pursuant to which the Company issues and sells Preferred Stock at a fixed pre-money valuation.</w:t>
      </w:r>
    </w:p>
    <w:p>
      <w:pPr>
        <w:spacing w:after="0" w:line="120" w:lineRule="auto"/>
      </w:pPr>
    </w:p>
    <w:p>
      <w:r>
        <w:rPr>
          <w:b/>
        </w:rPr>
        <w:t xml:space="preserve">"Liquidity Event"</w:t>
      </w:r>
      <w:r>
        <w:t xml:space="preserve"> means a Change of Control or an Initial Public Offering.</w:t>
      </w:r>
    </w:p>
    <w:p>
      <w:pPr>
        <w:spacing w:after="0" w:line="120" w:lineRule="auto"/>
      </w:pPr>
    </w:p>
    <w:p>
      <w:r>
        <w:rPr>
          <w:b/>
        </w:rPr>
        <w:t xml:space="preserve">"Change of Control"</w:t>
      </w:r>
      <w:r>
        <w:t xml:space="preserve"> means (i) a transaction or series of related transactions in which any "person" or "group" (within the meaning of Sections 13(d) and 14(d) of the Securities Exchange Act of 1934, as amended), becomes the "beneficial owner" (as defined in Rule 13d-3 under the Securities Exchange Act of 1934), directly or indirectly, of more than 50% of the outstanding voting securities of the Company, (ii) a merger, consolidation, or similar transaction in which the Company's stockholders immediately prior to such transaction do not own, directly or indirectly, more than 50% of the voting power of the surviving entity, or (iii) the sale, lease, transfer, exclusive license, or other disposition of all or substantially all of the assets of the Company.</w:t>
      </w:r>
    </w:p>
    <w:p>
      <w:pPr>
        <w:spacing w:after="0" w:line="120" w:lineRule="auto"/>
      </w:pPr>
    </w:p>
    <w:p>
      <w:pPr>
        <w:pStyle w:val="Heading3"/>
      </w:pPr>
      <w:r>
        <w:t xml:space="preserve">3. Company Representations</w:t>
      </w:r>
    </w:p>
    <w:p>
      <w:pPr>
        <w:spacing w:after="0" w:line="120" w:lineRule="auto"/>
      </w:pPr>
    </w:p>
    <w:p>
      <w:r>
        <w:rPr>
          <w:b/>
        </w:rPr>
        <w:t xml:space="preserve">(a)</w:t>
      </w:r>
      <w:r>
        <w:t xml:space="preserve"> The Company is a corporation duly organized, validly existing, and in good standing under the laws of the State of Delaware, and has the power and authority to own, lease and operate its properties and carry on its business as now conducted.</w:t>
      </w:r>
    </w:p>
    <w:p>
      <w:pPr>
        <w:spacing w:after="0" w:line="120" w:lineRule="auto"/>
      </w:pPr>
    </w:p>
    <w:p>
      <w:r>
        <w:rPr>
          <w:b/>
        </w:rPr>
        <w:t xml:space="preserve">(b)</w:t>
      </w:r>
      <w:r>
        <w:t xml:space="preserve"> The execution, delivery and performance by the Company of this Safe is within the power of the Company and has been duly authorized by all necessary actions on the part of the Company.</w:t>
      </w:r>
    </w:p>
    <w:p>
      <w:pPr>
        <w:spacing w:after="0" w:line="120" w:lineRule="auto"/>
      </w:pPr>
    </w:p>
    <w:p>
      <w:r>
        <w:rPr>
          <w:b/>
        </w:rPr>
        <w:t xml:space="preserve">(c)</w:t>
      </w:r>
      <w:r>
        <w:t xml:space="preserve"> The performance and compliance with the terms and provisions of this Safe by the Company does not and will not violate any material judgment, order, writ, decree or rule of any court or governmental agency applicable to the Company.</w:t>
      </w:r>
    </w:p>
    <w:p>
      <w:pPr>
        <w:spacing w:after="0" w:line="120" w:lineRule="auto"/>
      </w:pPr>
    </w:p>
    <w:p>
      <w:pPr>
        <w:pStyle w:val="Heading3"/>
      </w:pPr>
      <w:r>
        <w:t xml:space="preserve">4. Most Favored Nation</w:t>
      </w:r>
    </w:p>
    <w:p>
      <w:pPr>
        <w:spacing w:after="0" w:line="120" w:lineRule="auto"/>
      </w:pPr>
    </w:p>
    <w:p>
      <w:r>
        <w:t xml:space="preserve">If the Company issues any subsequent Safes (each a "Subsequent Safe") with terms more favorable to such investors than the terms of this Safe, including without limitation the inclusion of a valuation cap or discount rate, then, at the Investor's election, the Company shall promptly amend this Safe to reflect such more favorable terms. The Investor shall be notified in writing within five (5) business days of the issuance of any Subsequent Safe and shall have thirty (30) days to make an election under this Section 4.</w:t>
      </w:r>
    </w:p>
    <w:p>
      <w:pPr>
        <w:spacing w:after="0" w:line="120" w:lineRule="auto"/>
      </w:pPr>
    </w:p>
    <w:p>
      <w:pPr>
        <w:pStyle w:val="Heading3"/>
      </w:pPr>
      <w:r>
        <w:t xml:space="preserve">5. Key Person Provision</w:t>
      </w:r>
    </w:p>
    <w:p>
      <w:pPr>
        <w:spacing w:after="0" w:line="120" w:lineRule="auto"/>
      </w:pPr>
    </w:p>
    <w:p>
      <w:r>
        <w:rPr>
          <w:b/>
        </w:rPr>
        <w:t xml:space="preserve">(a)</w:t>
      </w:r>
      <w:r>
        <w:t xml:space="preserve"> The parties acknowledge that the Investor is making this investment in material reliance upon the continued involvement of Alex Rivera (Chief Executive Officer) and Jordan Nakamura (Chief Technology Officer) with the Company (each a "Key Person" and collectively, the "Key Persons").</w:t>
      </w:r>
    </w:p>
    <w:p>
      <w:pPr>
        <w:spacing w:after="0" w:line="120" w:lineRule="auto"/>
      </w:pPr>
    </w:p>
    <w:p>
      <w:r>
        <w:rPr>
          <w:b/>
        </w:rPr>
        <w:t xml:space="preserve">(b)</w:t>
      </w:r>
      <w:r>
        <w:t xml:space="preserve"> If both Key Persons cease to be actively engaged in the day-to-day operations of the Company (whether through resignation, termination, death, disability, or reduction to less than thirty (30) hours per week of service) within twenty-four (24) months of the date of this Safe (a "Key Person Departure Event"), the Investor may, at its sole election, demand the return of the Purchase Amount by delivering written notice to the Company within sixty (60) days of becoming aware of such Key Person Departure Event.</w:t>
      </w:r>
    </w:p>
    <w:p>
      <w:pPr>
        <w:spacing w:after="0" w:line="120" w:lineRule="auto"/>
      </w:pPr>
    </w:p>
    <w:p>
      <w:r>
        <w:rPr>
          <w:b/>
        </w:rPr>
        <w:t xml:space="preserve">(c)</w:t>
      </w:r>
      <w:r>
        <w:t xml:space="preserve"> Upon receipt of a valid demand under Section 5(b), the Company shall return the Purchase Amount to the Investor within ninety (90) days, subject to the Company's available cash and the rights and preferences of the Company's creditors. If the Company's available cash is insufficient to satisfy the demand in full, the Company shall pay the maximum amount available and shall pay the remaining balance as soon as reasonably practicable, with simple interest accruing on any unpaid balance at the rate of 5% per annum from the date of the demand.</w:t>
      </w:r>
    </w:p>
    <w:p>
      <w:pPr>
        <w:spacing w:after="0" w:line="120" w:lineRule="auto"/>
      </w:pPr>
    </w:p>
    <w:p>
      <w:r>
        <w:rPr>
          <w:b/>
        </w:rPr>
        <w:t xml:space="preserve">(d)</w:t>
      </w:r>
      <w:r>
        <w:t xml:space="preserve"> For the avoidance of doubt, the departure of only one Key Person shall not trigger the rights set forth in this Section 5.</w:t>
      </w:r>
    </w:p>
    <w:p>
      <w:pPr>
        <w:spacing w:after="0" w:line="120" w:lineRule="auto"/>
      </w:pPr>
    </w:p>
    <w:p>
      <w:pPr>
        <w:pStyle w:val="Heading3"/>
      </w:pPr>
      <w:r>
        <w:t xml:space="preserve">6. Investor Representations</w:t>
      </w:r>
    </w:p>
    <w:p>
      <w:pPr>
        <w:spacing w:after="0" w:line="120" w:lineRule="auto"/>
      </w:pPr>
    </w:p>
    <w:p>
      <w:r>
        <w:rPr>
          <w:b/>
        </w:rPr>
        <w:t xml:space="preserve">(a)</w:t>
      </w:r>
      <w:r>
        <w:t xml:space="preserve"> The Investor has full legal capacity, power and authority to execute and deliver this Safe and to perform its obligations hereunder.</w:t>
      </w:r>
    </w:p>
    <w:p>
      <w:pPr>
        <w:spacing w:after="0" w:line="120" w:lineRule="auto"/>
      </w:pPr>
    </w:p>
    <w:p>
      <w:r>
        <w:rPr>
          <w:b/>
        </w:rPr>
        <w:t xml:space="preserve">(b)</w:t>
      </w:r>
      <w:r>
        <w:t xml:space="preserve"> The Investor is an accredited investor as such term is defined in Rule 501 of Regulation D under the Securities Act.</w:t>
      </w:r>
    </w:p>
    <w:p>
      <w:pPr>
        <w:spacing w:after="0" w:line="120" w:lineRule="auto"/>
      </w:pPr>
    </w:p>
    <w:p>
      <w:r>
        <w:rPr>
          <w:b/>
        </w:rPr>
        <w:t xml:space="preserve">(c)</w:t>
      </w:r>
      <w:r>
        <w:t xml:space="preserve"> The Investor is purchasing this Safe for the Investor's own account for investment, not as a nominee or agent.</w:t>
      </w:r>
    </w:p>
    <w:p>
      <w:pPr>
        <w:spacing w:after="0" w:line="120" w:lineRule="auto"/>
      </w:pPr>
    </w:p>
    <w:p>
      <w:pPr>
        <w:pStyle w:val="Heading3"/>
      </w:pPr>
      <w:r>
        <w:t xml:space="preserve">7. Miscellaneous</w:t>
      </w:r>
    </w:p>
    <w:p>
      <w:pPr>
        <w:spacing w:after="0" w:line="120" w:lineRule="auto"/>
      </w:pPr>
    </w:p>
    <w:p>
      <w:r>
        <w:rPr>
          <w:b/>
        </w:rPr>
        <w:t xml:space="preserve">(a) Amendment.</w:t>
      </w:r>
      <w:r>
        <w:t xml:space="preserve"> Any provision of this Safe may be amended, waived or modified by written consent of the Company and holders of Safes representing at least seventy-five percent (75%) of the aggregate Purchase Amounts of all then-outstanding Safes; provided, however, that no amendment that solely and adversely affects the rights of the Investor shall be effective without the Investor's written consent.</w:t>
      </w:r>
    </w:p>
    <w:p>
      <w:pPr>
        <w:spacing w:after="0" w:line="120" w:lineRule="auto"/>
      </w:pPr>
    </w:p>
    <w:p>
      <w:r>
        <w:rPr>
          <w:b/>
        </w:rPr>
        <w:t xml:space="preserve">(b) Governing Law.</w:t>
      </w:r>
      <w:r>
        <w:t xml:space="preserve"> This Safe shall be governed by and construed in accordance with the laws of the State of Delaware.</w:t>
      </w:r>
    </w:p>
    <w:p>
      <w:pPr>
        <w:spacing w:after="0" w:line="120" w:lineRule="auto"/>
      </w:pPr>
    </w:p>
    <w:p>
      <w:r>
        <w:rPr>
          <w:b/>
        </w:rPr>
        <w:t xml:space="preserve">(c) Assignment.</w:t>
      </w:r>
      <w:r>
        <w:t xml:space="preserve"> Neither this Safe nor the rights contained herein may be assigned by either party without the prior written consent of the other.</w:t>
      </w:r>
    </w:p>
    <w:p>
      <w:pPr>
        <w:spacing w:after="0" w:line="120" w:lineRule="auto"/>
      </w:pPr>
    </w:p>
    <w:p>
      <w:r>
        <w:rPr>
          <w:b/>
        </w:rPr>
        <w:t xml:space="preserve">(d) Entire Agreement.</w:t>
      </w:r>
      <w:r>
        <w:t xml:space="preserve"> This Safe constitutes the full and entire understanding and agreement between the parties with respect to the subject matter hereof.</w:t>
      </w:r>
    </w:p>
    <w:p>
      <w:pPr>
        <w:spacing w:after="0" w:line="120" w:lineRule="auto"/>
      </w:pPr>
    </w:p>
    <w:p>
      <w:pPr>
        <w:pStyle w:val="HorizontalRule"/>
      </w:pPr>
    </w:p>
    <w:p>
      <w:pPr>
        <w:spacing w:after="0" w:line="120" w:lineRule="auto"/>
      </w:pPr>
    </w:p>
    <w:p>
      <w:r>
        <w:rPr>
          <w:b/>
        </w:rPr>
        <w:t xml:space="preserve">IN WITNESS WHEREOF,</w:t>
      </w:r>
      <w:r>
        <w:t xml:space="preserve"> the undersigned have caused this Safe to be duly executed and delivered.</w:t>
      </w:r>
    </w:p>
    <w:p>
      <w:pPr>
        <w:spacing w:after="0" w:line="120" w:lineRule="auto"/>
      </w:pPr>
    </w:p>
    <w:p>
      <w:r>
        <w:rPr>
          <w:b/>
        </w:rPr>
        <w:t xml:space="preserve">COMPANY:</w:t>
      </w:r>
    </w:p>
    <w:p>
      <w:r>
        <w:t xml:space="preserve">Carto Technologies, Inc.</w:t>
      </w:r>
    </w:p>
    <w:p>
      <w:r>
        <w:t xml:space="preserve">By: /s/ Alex Rivera</w:t>
      </w:r>
    </w:p>
    <w:p>
      <w:r>
        <w:t xml:space="preserve">Name: Alex Rivera</w:t>
      </w:r>
    </w:p>
    <w:p>
      <w:r>
        <w:t xml:space="preserve">Title: Chief Executive Officer</w:t>
      </w:r>
    </w:p>
    <w:p>
      <w:pPr>
        <w:spacing w:after="0" w:line="120" w:lineRule="auto"/>
      </w:pPr>
    </w:p>
    <w:p>
      <w:r>
        <w:rPr>
          <w:b/>
        </w:rPr>
        <w:t xml:space="preserve">INVESTOR:</w:t>
      </w:r>
    </w:p>
    <w:p>
      <w:r>
        <w:t xml:space="preserve">Outdoor Ventures LLC</w:t>
      </w:r>
    </w:p>
    <w:p>
      <w:r>
        <w:t xml:space="preserve">By: /s/ Teresa Mancini</w:t>
      </w:r>
    </w:p>
    <w:p>
      <w:r>
        <w:t xml:space="preserve">Name: Teresa Mancini</w:t>
      </w:r>
    </w:p>
    <w:p>
      <w:r>
        <w:t xml:space="preserve">Title: Managing Member</w:t>
      </w:r>
    </w:p>
    <w:p>
      <w:pPr>
        <w:spacing w:after="0" w:line="120" w:lineRule="auto"/>
      </w:pPr>
    </w:p>
    <w:p>
      <w:r>
        <w:t xml:space="preserve">Purchase Amount received: $200,000.00</w:t>
      </w:r>
    </w:p>
    <w:p>
      <w:pPr>
        <w:spacing w:after="0" w:line="120" w:lineRule="auto"/>
      </w:pPr>
    </w:p>
    <w:sectPr>
      <w:pgSz w:w="12240" w:h="15840"/>
      <w:pgMar w:top="1440" w:right="1440" w:bottom="1440" w:left="1440"/>
    </w:sectPr>
  </w:body>
</w:document>
</file>

<file path=word/styles.xml><?xml version="1.0" encoding="utf-8"?>
<w:styles xmlns:w="http://schemas.openxmlformats.org/wordprocessingml/2006/main">
  <w:docDefaults>
    <w:rPrDefault>
      <w:rPr>
        <w:rFonts w:ascii="Calibri" w:hAnsi="Calibri" w:cs="Calibri"/>
        <w:sz w:val="22"/>
        <w:szCs w:val="22"/>
      </w:rPr>
    </w:rPrDefault>
    <w:pPrDefault>
      <w:pPr>
        <w:spacing w:after="120" w:line="276" w:lineRule="auto"/>
      </w:pPr>
    </w:pPrDefault>
  </w:docDefaults>
  <w:style w:type="paragraph" w:styleId="Normal">
    <w:name w:val="Normal"/>
    <w:qFormat/>
  </w:style>
  <w:style w:type="paragraph" w:styleId="Heading1">
    <w:name w:val="heading 1"/>
    <w:qFormat/>
    <w:pPr>
      <w:spacing w:before="360" w:after="120"/>
    </w:pPr>
    <w:rPr>
      <w:rFonts w:ascii="Calibri" w:hAnsi="Calibri"/>
      <w:b/>
      <w:color w:val="1F3864"/>
      <w:sz w:val="36"/>
      <w:szCs w:val="36"/>
    </w:rPr>
  </w:style>
  <w:style w:type="paragraph" w:styleId="Heading2">
    <w:name w:val="heading 2"/>
    <w:qFormat/>
    <w:pPr>
      <w:spacing w:before="240" w:after="80"/>
    </w:pPr>
    <w:rPr>
      <w:rFonts w:ascii="Calibri" w:hAnsi="Calibri"/>
      <w:b/>
      <w:color w:val="2E75B6"/>
      <w:sz w:val="28"/>
      <w:szCs w:val="28"/>
    </w:rPr>
  </w:style>
  <w:style w:type="paragraph" w:styleId="Heading3">
    <w:name w:val="heading 3"/>
    <w:qFormat/>
    <w:pPr>
      <w:spacing w:before="200" w:after="60"/>
    </w:pPr>
    <w:rPr>
      <w:rFonts w:ascii="Calibri" w:hAnsi="Calibri"/>
      <w:b/>
      <w:color w:val="404040"/>
      <w:sz w:val="24"/>
      <w:szCs w:val="24"/>
    </w:rPr>
  </w:style>
  <w:style w:type="paragraph" w:styleId="ListBullet">
    <w:name w:val="List Bullet"/>
    <w:pPr>
      <w:ind w:left="720" w:hanging="360"/>
      <w:spacing w:after="60"/>
    </w:pPr>
  </w:style>
  <w:style w:type="paragraph" w:styleId="HorizontalRule">
    <w:name w:val="Horizontal Rule"/>
    <w:pPr>
      <w:pBdr>
        <w:bottom w:val="single" w:sz="6" w:space="1" w:color="CCCCCC"/>
      </w:pBdr>
      <w:spacing w:before="120" w:after="120"/>
    </w:pPr>
    <w:rPr>
      <w:sz w:val="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