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FarmOS Technologies Inc. — Post-Money SAFE with Agricultural Terms</w:t>
      </w:r>
    </w:p>
    <w:p>
      <w:pPr>
        <w:spacing w:after="0" w:line="120" w:lineRule="auto"/>
      </w:pPr>
    </w:p>
    <w:p>
      <w:r>
        <w:rPr>
          <w:b/>
        </w:rPr>
        <w:t xml:space="preserve">Date:</w:t>
      </w:r>
      <w:r>
        <w:t xml:space="preserve"> February 28, 2025</w:t>
      </w:r>
    </w:p>
    <w:p>
      <w:pPr>
        <w:spacing w:after="0" w:line="120" w:lineRule="auto"/>
      </w:pPr>
    </w:p>
    <w:p>
      <w:pPr>
        <w:pStyle w:val="HorizontalRule"/>
      </w:pPr>
    </w:p>
    <w:p>
      <w:pPr>
        <w:spacing w:after="0" w:line="120" w:lineRule="auto"/>
      </w:pPr>
    </w:p>
    <w:p>
      <w:r>
        <w:t xml:space="preserve">THIS CERTIFIES THAT in exchange for the payment by Cargill Ventures LLC (the "Investor") of $600,000.00 (the "Purchase Amount") on or about February 28, 2025, FarmOS Technologies Inc., a Delaware corporation (the "Company"), hereby issues to the Investor the right to certain shares of the Company's capital stock, subject to the terms set forth below.</w:t>
      </w:r>
    </w:p>
    <w:p>
      <w:pPr>
        <w:spacing w:after="0" w:line="120" w:lineRule="auto"/>
      </w:pPr>
    </w:p>
    <w:p>
      <w:r>
        <w:t xml:space="preserve">The parties acknowledge that the Investor is a strategic investor and that this Safe includes certain commercial partnership provisions and data rights that are material to the Investor's decision to make this investment.</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In connection with the automatic conversion of this Safe into shares of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 The strategic partnership provisions set forth in Section 5 shall survive conversion and shall be incorporated by reference into the definitive documents for such Equity Financing.</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or (ii) the amount payable at the Liquidity Event as if the Safe had been converted into Common Stock at the Liquidity Event Conversion Price.</w:t>
      </w:r>
    </w:p>
    <w:p>
      <w:pPr>
        <w:spacing w:after="0" w:line="120" w:lineRule="auto"/>
      </w:pPr>
    </w:p>
    <w:p>
      <w:r>
        <w:rPr>
          <w:b/>
        </w:rPr>
        <w:t xml:space="preserve">(c) Dissolution Event.</w:t>
      </w:r>
      <w:r>
        <w:t xml:space="preserve"> If there is a Dissolution Event before the termination of this Safe, the Company will pay an amount equal to the Purchase Amount plus the Data Contribution Value (as defined in Section 5(f)), due and payable to the Investor immediately prior to the consummation of the Dissolution Event, subject to the rights and preferences of the holders of the Company's outstanding Preferred Stock, if any. The aggregate of the Purchase Amount and the Data Contribution Value will be paid to the Investor prior to any distribution of any of the assets of the Company to holders of the Company's Common Stock.</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(and, in the case of a Dissolution Event, the Data Contribution Value) is:</w:t>
      </w:r>
    </w:p>
    <w:p>
      <w:pPr>
        <w:spacing w:after="0" w:line="120" w:lineRule="auto"/>
      </w:pPr>
    </w:p>
    <w:p>
      <w:r>
        <w:t xml:space="preserve">(i) Junior to payment of outstanding indebtedness and creditor claims;</w:t>
      </w:r>
    </w:p>
    <w:p>
      <w:pPr>
        <w:spacing w:after="0" w:line="120" w:lineRule="auto"/>
      </w:pPr>
    </w:p>
    <w:p>
      <w:r>
        <w:t xml:space="preserve">(ii) On par with payments for other Safes and/or Preferred Stock (except as to the Data Contribution Value, which shall be senior to all other Safe holders);</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"Conversion Price"</w:t>
      </w:r>
      <w:r>
        <w:t xml:space="preserve"> means the Safe Price (the Company and the Investor acknowledge that this Safe does not include a Discount Rate).</w:t>
      </w:r>
    </w:p>
    <w:p>
      <w:pPr>
        <w:spacing w:after="0" w:line="120" w:lineRule="auto"/>
      </w:pPr>
    </w:p>
    <w:p>
      <w:r>
        <w:rPr>
          <w:b/>
        </w:rPr>
        <w:t xml:space="preserve">"Post-Money Valuation Cap"</w:t>
      </w:r>
      <w:r>
        <w:t xml:space="preserve"> means $25,000,000.</w:t>
      </w:r>
    </w:p>
    <w:p>
      <w:pPr>
        <w:spacing w:after="0" w:line="120" w:lineRule="auto"/>
      </w:pPr>
    </w:p>
    <w:p>
      <w:r>
        <w:rPr>
          <w:b/>
        </w:rPr>
        <w:t xml:space="preserve">"Safe Price"</w:t>
      </w:r>
      <w:r>
        <w:t xml:space="preserve"> means the price per share equal to the Post-Money Valuation Cap divided by the Company Capitalization.</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r>
        <w:rPr>
          <w:b/>
        </w:rPr>
        <w:t xml:space="preserve">"Liquidity Event Conversion Price"</w:t>
      </w:r>
      <w:r>
        <w:t xml:space="preserve"> means the price per share equal to the Post-Money Valuation Cap divided by the Liquidity Capitalization.</w:t>
      </w:r>
    </w:p>
    <w:p>
      <w:pPr>
        <w:spacing w:after="0" w:line="120" w:lineRule="auto"/>
      </w:pPr>
    </w:p>
    <w:p>
      <w:pPr>
        <w:pStyle w:val="Heading3"/>
      </w:pPr>
      <w:r>
        <w:t xml:space="preserve">3. Company Representations</w:t>
      </w:r>
    </w:p>
    <w:p>
      <w:pPr>
        <w:spacing w:after="0" w:line="120" w:lineRule="auto"/>
      </w:pPr>
    </w:p>
    <w:p>
      <w:r>
        <w:rPr>
          <w:b/>
        </w:rPr>
        <w:t xml:space="preserve">(a)</w:t>
      </w:r>
      <w:r>
        <w:t xml:space="preserve"> The Company is a corporation duly organized, validly existing, and in good standing under the laws of the State of Delaware, and has the power and authority to own, lease and operate its properties and carry on its business as now conducted.</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w:t>
      </w:r>
    </w:p>
    <w:p>
      <w:pPr>
        <w:spacing w:after="0" w:line="120" w:lineRule="auto"/>
      </w:pPr>
    </w:p>
    <w:p>
      <w:r>
        <w:rPr>
          <w:b/>
        </w:rPr>
        <w:t xml:space="preserve">(c)</w:t>
      </w:r>
      <w:r>
        <w:t xml:space="preserve"> The Company represents that the Company's precision agriculture platform (the "Platform") processes field-level agronomic data for crops including corn (Zea mays), soybean (Glycine max), wheat (Triticum aestivum), and other row crops across approximately 2.4 million managed acres as of the date hereof.</w:t>
      </w:r>
    </w:p>
    <w:p>
      <w:pPr>
        <w:spacing w:after="0" w:line="120" w:lineRule="auto"/>
      </w:pPr>
    </w:p>
    <w:p>
      <w:pPr>
        <w:pStyle w:val="Heading3"/>
      </w:pPr>
      <w:r>
        <w:t xml:space="preserve">4. Investor Representations</w:t>
      </w:r>
    </w:p>
    <w:p>
      <w:pPr>
        <w:spacing w:after="0" w:line="120" w:lineRule="auto"/>
      </w:pPr>
    </w:p>
    <w:p>
      <w:r>
        <w:rPr>
          <w:b/>
        </w:rPr>
        <w:t xml:space="preserve">(a)</w:t>
      </w:r>
      <w:r>
        <w:t xml:space="preserve"> The Investor has full legal capacity, power and authority to execute and deliver this Safe and to perform its obligations hereunder.</w:t>
      </w:r>
    </w:p>
    <w:p>
      <w:pPr>
        <w:spacing w:after="0" w:line="120" w:lineRule="auto"/>
      </w:pPr>
    </w:p>
    <w:p>
      <w:r>
        <w:rPr>
          <w:b/>
        </w:rPr>
        <w:t xml:space="preserve">(b)</w:t>
      </w:r>
      <w:r>
        <w:t xml:space="preserve"> The Investor is an accredited investor as such term is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 and not with a view to, or for resale in connection with, the distribution thereof.</w:t>
      </w:r>
    </w:p>
    <w:p>
      <w:pPr>
        <w:spacing w:after="0" w:line="120" w:lineRule="auto"/>
      </w:pPr>
    </w:p>
    <w:p>
      <w:r>
        <w:rPr>
          <w:b/>
        </w:rPr>
        <w:t xml:space="preserve">(d)</w:t>
      </w:r>
      <w:r>
        <w:t xml:space="preserve"> The Investor acknowledges that it is a wholly owned subsidiary of Cargill, Incorporated, a Delaware corporation, and that the commercial terms set forth in Section 5 have been negotiated in connection with, and are material to, the Investor's decision to enter into this Safe.</w:t>
      </w:r>
    </w:p>
    <w:p>
      <w:pPr>
        <w:spacing w:after="0" w:line="120" w:lineRule="auto"/>
      </w:pPr>
    </w:p>
    <w:p>
      <w:pPr>
        <w:pStyle w:val="Heading3"/>
      </w:pPr>
      <w:r>
        <w:t xml:space="preserve">5. Strategic Partnership and Data Rights</w:t>
      </w:r>
    </w:p>
    <w:p>
      <w:pPr>
        <w:spacing w:after="0" w:line="120" w:lineRule="auto"/>
      </w:pPr>
    </w:p>
    <w:p>
      <w:r>
        <w:rPr>
          <w:b/>
        </w:rPr>
        <w:t xml:space="preserve">(a) Exclusive Commercial Partnership — Precision Agriculture Data.</w:t>
      </w:r>
      <w:r>
        <w:t xml:space="preserve"> The Company grants to the Investor an exclusive right to receive and commercially utilize anonymized, aggregated precision agriculture data generated by the Platform with respect to corn (Zea mays) and soybean (Glycine max) crops (the "Covered Crops Data") in the geographic territory comprising the states of Iowa, Illinois, Indiana, Minnesota, Wisconsin, Nebraska, Ohio, Michigan, Missouri, and South Dakota (the "Territory"). This exclusivity shall be for a period of thirty-six (36) months from the date of this Safe (the "Exclusivity Period"). During the Exclusivity Period, the Company shall not license, sell, or otherwise provide Covered Crops Data in the Territory to any competitor of the Investor in the grain origination, processing, or trading business.</w:t>
      </w:r>
    </w:p>
    <w:p>
      <w:pPr>
        <w:spacing w:after="0" w:line="120" w:lineRule="auto"/>
      </w:pPr>
    </w:p>
    <w:p>
      <w:r>
        <w:rPr>
          <w:b/>
        </w:rPr>
        <w:t xml:space="preserve">(b) Data Delivery.</w:t>
      </w:r>
      <w:r>
        <w:t xml:space="preserve"> During the Exclusivity Period, the Company shall deliver to the Investor, on a quarterly basis, aggregated field-level yield prediction data, soil health metrics, and input optimization recommendations for the Covered Crops in the Territory, in a machine-readable format mutually agreed upon by the parties. Data shall be delivered within thirty (30) days of the end of each calendar quarter.</w:t>
      </w:r>
    </w:p>
    <w:p>
      <w:pPr>
        <w:spacing w:after="0" w:line="120" w:lineRule="auto"/>
      </w:pPr>
    </w:p>
    <w:p>
      <w:r>
        <w:rPr>
          <w:b/>
        </w:rPr>
        <w:t xml:space="preserve">(c) Right of First Refusal on Next Priced Round.</w:t>
      </w:r>
      <w:r>
        <w:t xml:space="preserve"> If the Company proposes to issue equity securities in a priced equity financing round (a "Proposed Financing"), the Company shall deliver to the Investor a written notice (the "ROFR Notice") describing the terms of the Proposed Financing at least twenty (20) business days prior to the anticipated closing date. The Investor shall have the right, exercisable by written notice to the Company within fifteen (15) business days of receipt of the ROFR Notice, to participate in the Proposed Financing on the same terms offered to other investors, up to an amount equal to the Investor's pro-rata share of the Proposed Financing (calculated on a fully diluted basis).</w:t>
      </w:r>
    </w:p>
    <w:p>
      <w:pPr>
        <w:spacing w:after="0" w:line="120" w:lineRule="auto"/>
      </w:pPr>
    </w:p>
    <w:p>
      <w:r>
        <w:rPr>
          <w:b/>
        </w:rPr>
        <w:t xml:space="preserve">(d) Geographic Exclusivity.</w:t>
      </w:r>
      <w:r>
        <w:t xml:space="preserve"> During the Exclusivity Period and for twelve (12) months thereafter, the Company shall not enter into any exclusive data licensing arrangement with any third party for precision agriculture data covering the Covered Crops in the Territory. For the avoidance of doubt, the Company may (i) license data for crops other than the Covered Crops, (ii) license Covered Crops Data outside the Territory, and (iii) enter into non-exclusive data licensing arrangements in the Territory.</w:t>
      </w:r>
    </w:p>
    <w:p>
      <w:pPr>
        <w:spacing w:after="0" w:line="120" w:lineRule="auto"/>
      </w:pPr>
    </w:p>
    <w:p>
      <w:r>
        <w:rPr>
          <w:b/>
        </w:rPr>
        <w:t xml:space="preserve">(e) Farmer Data Consent.</w:t>
      </w:r>
      <w:r>
        <w:t xml:space="preserve"> The Company represents and warrants that all data provided to the Investor under this Section 5 has been collected with appropriate consent from the participating farmers and landowners, and that such data has been anonymized and aggregated in a manner consistent with applicable privacy laws and the Company's published data privacy policy.</w:t>
      </w:r>
    </w:p>
    <w:p>
      <w:pPr>
        <w:spacing w:after="0" w:line="120" w:lineRule="auto"/>
      </w:pPr>
    </w:p>
    <w:p>
      <w:r>
        <w:rPr>
          <w:b/>
        </w:rPr>
        <w:t xml:space="preserve">(f) Data Contribution Value.</w:t>
      </w:r>
      <w:r>
        <w:t xml:space="preserve"> The "Data Contribution Value" means the fair market value of any proprietary agronomic data, soil sampling data, or field trial results contributed by the Investor or its affiliates to the Platform during the term of this Safe, as determined by an independent third-party appraiser mutually selected by the Company and the Investor. In the event of a Dissolution Event, the Data Contribution Value shall be calculated as of the date ninety (90) days prior to the Dissolution Event. If the parties cannot agree on an appraiser within fifteen (15) days, each party shall select one appraiser and the two appraisers shall select a third, whose determination shall be final and binding.</w:t>
      </w:r>
    </w:p>
    <w:p>
      <w:pPr>
        <w:spacing w:after="0" w:line="120" w:lineRule="auto"/>
      </w:pPr>
    </w:p>
    <w:p>
      <w:pPr>
        <w:pStyle w:val="Heading3"/>
      </w:pPr>
      <w:r>
        <w:t xml:space="preserve">6. Miscellaneous</w:t>
      </w:r>
    </w:p>
    <w:p>
      <w:pPr>
        <w:spacing w:after="0" w:line="120" w:lineRule="auto"/>
      </w:pPr>
    </w:p>
    <w:p>
      <w:r>
        <w:rPr>
          <w:b/>
        </w:rPr>
        <w:t xml:space="preserve">(a) Amendment.</w:t>
      </w:r>
      <w:r>
        <w:t xml:space="preserve"> Any provision of this Safe may be amended, waived or modified by written consent of the Company and the Investor. Section 5 (Strategic Partnership and Data Rights) may not be amended without the express written consent of both parties.</w:t>
      </w:r>
    </w:p>
    <w:p>
      <w:pPr>
        <w:spacing w:after="0" w:line="120" w:lineRule="auto"/>
      </w:pPr>
    </w:p>
    <w:p>
      <w:r>
        <w:rPr>
          <w:b/>
        </w:rPr>
        <w:t xml:space="preserve">(b) Governing Law.</w:t>
      </w:r>
      <w:r>
        <w:t xml:space="preserve"> This Safe shall be governed by and construed in accordance with the laws of the State of Delaware, without regard to its conflict of law provisions.</w:t>
      </w:r>
    </w:p>
    <w:p>
      <w:pPr>
        <w:spacing w:after="0" w:line="120" w:lineRule="auto"/>
      </w:pPr>
    </w:p>
    <w:p>
      <w:r>
        <w:rPr>
          <w:b/>
        </w:rPr>
        <w:t xml:space="preserve">(c) Dispute Resolution.</w:t>
      </w:r>
      <w:r>
        <w:t xml:space="preserve"> Any dispute arising out of or relating to this Safe shall first be subject to good faith negotiation between senior executives of the parties for a period of thirty (30) days. If not resolved, disputes shall be submitted to binding arbitration under the rules of the American Arbitration Association in Minneapolis, Minnesota.</w:t>
      </w:r>
    </w:p>
    <w:p>
      <w:pPr>
        <w:spacing w:after="0" w:line="120" w:lineRule="auto"/>
      </w:pPr>
    </w:p>
    <w:p>
      <w:r>
        <w:rPr>
          <w:b/>
        </w:rPr>
        <w:t xml:space="preserve">(d) Assignment.</w:t>
      </w:r>
      <w:r>
        <w:t xml:space="preserve"> Neither this Safe nor the rights contained herein may be assigned by either party without the prior written consent of the other; provided, however, that the Investor may assign this Safe to any direct or indirect subsidiary of Cargill, Incorporated without the Company's consent.</w:t>
      </w:r>
    </w:p>
    <w:p>
      <w:pPr>
        <w:spacing w:after="0" w:line="120" w:lineRule="auto"/>
      </w:pPr>
    </w:p>
    <w:p>
      <w:r>
        <w:rPr>
          <w:b/>
        </w:rPr>
        <w:t xml:space="preserve">(e) Confidentiality.</w:t>
      </w:r>
      <w:r>
        <w:t xml:space="preserve"> The terms of Section 5 are confidential and shall not be disclosed by either party to any third party without the prior written consent of the other, except as required by law, regulation, or in connection with a proposed Equity Financing (in which case disclosure shall be limited to prospective investors, their counsel, and their advisors under obligations of confidentiality).</w:t>
      </w:r>
    </w:p>
    <w:p>
      <w:pPr>
        <w:spacing w:after="0" w:line="120" w:lineRule="auto"/>
      </w:pPr>
    </w:p>
    <w:p>
      <w:r>
        <w:rPr>
          <w:b/>
        </w:rPr>
        <w:t xml:space="preserve">(f) Entire Agreement.</w:t>
      </w:r>
      <w:r>
        <w:t xml:space="preserve"> This Safe constitutes the full and entire understanding and agreement between the parties with respect to the subject matter hereof.</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FarmOS Technologies Inc.</w:t>
      </w:r>
    </w:p>
    <w:p>
      <w:r>
        <w:t xml:space="preserve">By: /s/ Brian Halverson</w:t>
      </w:r>
    </w:p>
    <w:p>
      <w:r>
        <w:t xml:space="preserve">Name: Brian Halverson</w:t>
      </w:r>
    </w:p>
    <w:p>
      <w:r>
        <w:t xml:space="preserve">Title: Chief Executive Officer</w:t>
      </w:r>
    </w:p>
    <w:p>
      <w:pPr>
        <w:spacing w:after="0" w:line="120" w:lineRule="auto"/>
      </w:pPr>
    </w:p>
    <w:p>
      <w:r>
        <w:rPr>
          <w:b/>
        </w:rPr>
        <w:t xml:space="preserve">INVESTOR:</w:t>
      </w:r>
    </w:p>
    <w:p>
      <w:r>
        <w:t xml:space="preserve">Cargill Ventures LLC</w:t>
      </w:r>
    </w:p>
    <w:p>
      <w:r>
        <w:t xml:space="preserve">By: /s/ Maria Chen-Garcia</w:t>
      </w:r>
    </w:p>
    <w:p>
      <w:r>
        <w:t xml:space="preserve">Name: Maria Chen-Garcia</w:t>
      </w:r>
    </w:p>
    <w:p>
      <w:r>
        <w:t xml:space="preserve">Title: Vice President, Strategic Investments</w:t>
      </w:r>
    </w:p>
    <w:p>
      <w:pPr>
        <w:spacing w:after="0" w:line="120" w:lineRule="auto"/>
      </w:pPr>
    </w:p>
    <w:p>
      <w:r>
        <w:t xml:space="preserve">Purchase Amount received: $600,000.00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