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GreenGrid Carbon Inc. — Post-Money SAFE with Impact Covenant</w:t>
      </w:r>
    </w:p>
    <w:p>
      <w:pPr>
        <w:spacing w:after="0" w:line="120" w:lineRule="auto"/>
      </w:pPr>
    </w:p>
    <w:p>
      <w:r>
        <w:rPr>
          <w:b/>
        </w:rPr>
        <w:t xml:space="preserve">Date:</w:t>
      </w:r>
      <w:r>
        <w:t xml:space="preserve"> June 1, 2025</w:t>
      </w:r>
    </w:p>
    <w:p>
      <w:pPr>
        <w:spacing w:after="0" w:line="120" w:lineRule="auto"/>
      </w:pPr>
    </w:p>
    <w:p>
      <w:pPr>
        <w:pStyle w:val="HorizontalRule"/>
      </w:pPr>
    </w:p>
    <w:p>
      <w:pPr>
        <w:spacing w:after="0" w:line="120" w:lineRule="auto"/>
      </w:pPr>
    </w:p>
    <w:p>
      <w:r>
        <w:t xml:space="preserve">THIS CERTIFIES THAT in exchange for the payment by Climate Justice Capital (the "Investor") of $400,000.00 (the "Purchase Amount") on or about June 1, 2025, GreenGrid Carbon Inc., a Delaware corporation (the "Company"), hereby issues to the Investor the right to certain shares of the Company's capital stock, subject to the terms set forth below.</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0" w:line="120" w:lineRule="auto"/>
      </w:pPr>
    </w:p>
    <w:p>
      <w:r>
        <w:t xml:space="preserve">In connection with the automatic conversion of this Safe into shares of Safe Preferred Stock, the Investor will execute and deliver to the Company all of the transaction documents related to the Equity Financing; provided, that such documents are the same documents to be entered into with the purchasers of Standard Preferred Stock, with appropriate variations for the Safe Preferred Stock if applicable.</w:t>
      </w:r>
    </w:p>
    <w:p>
      <w:pPr>
        <w:spacing w:after="0" w:line="120" w:lineRule="auto"/>
      </w:pPr>
    </w:p>
    <w:p>
      <w:r>
        <w:rPr>
          <w:b/>
        </w:rPr>
        <w:t xml:space="preserve">(b) Liquidity Event.</w:t>
      </w:r>
      <w:r>
        <w:t xml:space="preserve">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(i) the applicable Liquidation Multiple (as defined in Section 5(c)) of the Purchase Amount or (ii) the amount payable at the Liquidity Event as if the Safe had been converted into Common Stock at the Liquidity Event Conversion Price.</w:t>
      </w:r>
    </w:p>
    <w:p>
      <w:pPr>
        <w:spacing w:after="0" w:line="120" w:lineRule="auto"/>
      </w:pPr>
    </w:p>
    <w:p>
      <w:r>
        <w:rPr>
          <w:b/>
        </w:rPr>
        <w:t xml:space="preserve">(c) Dissolution Event.</w:t>
      </w:r>
      <w:r>
        <w:t xml:space="preserve"> If there is a Dissolution Event before the termination of this Safe, the Company will pay an amount equal to the applicable Liquidation Multiple (as defined in Section 5(c)) of the Purchase Amount, due and payable to the Investor immediately prior to the consummation of the Dissolution Event, subject to the rights and preferences of the holders of the Company's outstanding Preferred Stock, if any.</w:t>
      </w:r>
    </w:p>
    <w:p>
      <w:pPr>
        <w:spacing w:after="0" w:line="120" w:lineRule="auto"/>
      </w:pPr>
    </w:p>
    <w:p>
      <w:r>
        <w:rPr>
          <w:b/>
        </w:rPr>
        <w:t xml:space="preserve">(d) Liquidation Priority.</w:t>
      </w:r>
      <w:r>
        <w:t xml:space="preserve"> In a Liquidity Event or Dissolution Event, this Safe is intended to operate like standard non-participating Preferred Stock. The Investor's right to receive its Purchase Amount (or the applicable multiple thereof) is:</w:t>
      </w:r>
    </w:p>
    <w:p>
      <w:pPr>
        <w:spacing w:after="0" w:line="120" w:lineRule="auto"/>
      </w:pPr>
    </w:p>
    <w:p>
      <w:r>
        <w:t xml:space="preserve">(i) Junior to payment of outstanding indebtedness and creditor claims;</w:t>
      </w:r>
    </w:p>
    <w:p>
      <w:pPr>
        <w:spacing w:after="0" w:line="120" w:lineRule="auto"/>
      </w:pPr>
    </w:p>
    <w:p>
      <w:r>
        <w:t xml:space="preserve">(ii) On par with payments for other Safes and/or Preferred Stock;</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"Conversion Price"</w:t>
      </w:r>
      <w:r>
        <w:t xml:space="preserve"> means the Safe Price (the Company and the Investor acknowledge that this Safe does not include a Discount Rate).</w:t>
      </w:r>
    </w:p>
    <w:p>
      <w:pPr>
        <w:spacing w:after="0" w:line="120" w:lineRule="auto"/>
      </w:pPr>
    </w:p>
    <w:p>
      <w:r>
        <w:rPr>
          <w:b/>
        </w:rPr>
        <w:t xml:space="preserve">"Post-Money Valuation Cap"</w:t>
      </w:r>
      <w:r>
        <w:t xml:space="preserve"> means $30,000,000.</w:t>
      </w:r>
    </w:p>
    <w:p>
      <w:pPr>
        <w:spacing w:after="0" w:line="120" w:lineRule="auto"/>
      </w:pPr>
    </w:p>
    <w:p>
      <w:r>
        <w:rPr>
          <w:b/>
        </w:rPr>
        <w:t xml:space="preserve">"Safe Price"</w:t>
      </w:r>
      <w:r>
        <w:t xml:space="preserve"> means the price per share equal to the Post-Money Valuation Cap divided by the Company Capitalization.</w:t>
      </w:r>
    </w:p>
    <w:p>
      <w:pPr>
        <w:spacing w:after="0" w:line="120" w:lineRule="auto"/>
      </w:pPr>
    </w:p>
    <w:p>
      <w:r>
        <w:rPr>
          <w:b/>
        </w:rPr>
        <w:t xml:space="preserve">"Equity Financing"</w:t>
      </w:r>
      <w:r>
        <w:t xml:space="preserve"> means a bona fide transaction or series of transactions with the principal purpose of raising capital, pursuant to which the Company issues and sells Preferred Stock at a fixed pre-money valuation.</w:t>
      </w:r>
    </w:p>
    <w:p>
      <w:pPr>
        <w:spacing w:after="0" w:line="120" w:lineRule="auto"/>
      </w:pPr>
    </w:p>
    <w:p>
      <w:r>
        <w:rPr>
          <w:b/>
        </w:rPr>
        <w:t xml:space="preserve">"Liquidity Event"</w:t>
      </w:r>
      <w:r>
        <w:t xml:space="preserve"> means a Change of Control or an Initial Public Offering.</w:t>
      </w:r>
    </w:p>
    <w:p>
      <w:pPr>
        <w:spacing w:after="0" w:line="120" w:lineRule="auto"/>
      </w:pPr>
    </w:p>
    <w:p>
      <w:pPr>
        <w:pStyle w:val="Heading3"/>
      </w:pPr>
      <w:r>
        <w:t xml:space="preserve">3. Company Representations</w:t>
      </w:r>
    </w:p>
    <w:p>
      <w:pPr>
        <w:spacing w:after="0" w:line="120" w:lineRule="auto"/>
      </w:pPr>
    </w:p>
    <w:p>
      <w:r>
        <w:rPr>
          <w:b/>
        </w:rPr>
        <w:t xml:space="preserve">(a)</w:t>
      </w:r>
      <w:r>
        <w:t xml:space="preserve"> The Company is a corporation duly organized, validly existing, and in good standing under the laws of the State of Delaware.</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w:t>
      </w:r>
    </w:p>
    <w:p>
      <w:pPr>
        <w:spacing w:after="0" w:line="120" w:lineRule="auto"/>
      </w:pPr>
    </w:p>
    <w:p>
      <w:r>
        <w:rPr>
          <w:b/>
        </w:rPr>
        <w:t xml:space="preserve">(c)</w:t>
      </w:r>
      <w:r>
        <w:t xml:space="preserve"> As of the date hereof, the Company holds a valid B Corp certification issued by B Lab, certificate number BC-2024-18732, with a current B Impact Assessment score of 87.4.</w:t>
      </w:r>
    </w:p>
    <w:p>
      <w:pPr>
        <w:spacing w:after="0" w:line="120" w:lineRule="auto"/>
      </w:pPr>
    </w:p>
    <w:p>
      <w:pPr>
        <w:pStyle w:val="Heading3"/>
      </w:pPr>
      <w:r>
        <w:t xml:space="preserve">4. Investor Representations</w:t>
      </w:r>
    </w:p>
    <w:p>
      <w:pPr>
        <w:spacing w:after="0" w:line="120" w:lineRule="auto"/>
      </w:pPr>
    </w:p>
    <w:p>
      <w:r>
        <w:rPr>
          <w:b/>
        </w:rPr>
        <w:t xml:space="preserve">(a)</w:t>
      </w:r>
      <w:r>
        <w:t xml:space="preserve"> The Investor has full legal capacity, power and authority to execute and deliver this Safe.</w:t>
      </w:r>
    </w:p>
    <w:p>
      <w:pPr>
        <w:spacing w:after="0" w:line="120" w:lineRule="auto"/>
      </w:pPr>
    </w:p>
    <w:p>
      <w:r>
        <w:rPr>
          <w:b/>
        </w:rPr>
        <w:t xml:space="preserve">(b)</w:t>
      </w:r>
      <w:r>
        <w:t xml:space="preserve"> The Investor is an accredited investor as defined in Rule 501 of Regulation D under the Securities Act.</w:t>
      </w:r>
    </w:p>
    <w:p>
      <w:pPr>
        <w:spacing w:after="0" w:line="120" w:lineRule="auto"/>
      </w:pPr>
    </w:p>
    <w:p>
      <w:r>
        <w:rPr>
          <w:b/>
        </w:rPr>
        <w:t xml:space="preserve">(c)</w:t>
      </w:r>
      <w:r>
        <w:t xml:space="preserve"> The Investor is purchasing this Safe for the Investor's own account for investment, not as a nominee or agent.</w:t>
      </w:r>
    </w:p>
    <w:p>
      <w:pPr>
        <w:spacing w:after="0" w:line="120" w:lineRule="auto"/>
      </w:pPr>
    </w:p>
    <w:p>
      <w:pPr>
        <w:pStyle w:val="Heading3"/>
      </w:pPr>
      <w:r>
        <w:t xml:space="preserve">5. Sustainability Covenant</w:t>
      </w:r>
    </w:p>
    <w:p>
      <w:pPr>
        <w:spacing w:after="0" w:line="120" w:lineRule="auto"/>
      </w:pPr>
    </w:p>
    <w:p>
      <w:r>
        <w:rPr>
          <w:b/>
        </w:rPr>
        <w:t xml:space="preserve">(a) B Corp Certification Maintenance.</w:t>
      </w:r>
      <w:r>
        <w:t xml:space="preserve"> The Company covenants and agrees that it shall use commercially reasonable efforts to maintain its B Corp certification (as administered by B Lab or any successor organization) for so long as this Safe remains outstanding. The Company shall (i) timely submit all required B Impact Assessment updates, (ii) pay all certification fees, and (iii) promptly cure any deficiencies identified during the recertification process.</w:t>
      </w:r>
    </w:p>
    <w:p>
      <w:pPr>
        <w:spacing w:after="0" w:line="120" w:lineRule="auto"/>
      </w:pPr>
    </w:p>
    <w:p>
      <w:r>
        <w:rPr>
          <w:b/>
        </w:rPr>
        <w:t xml:space="preserve">(b) Notice of Decertification.</w:t>
      </w:r>
      <w:r>
        <w:t xml:space="preserve"> The Company shall provide the Investor with written notice within five (5) business days of (i) receiving any notice from B Lab of pending decertification, (ii) any voluntary decision by the Board to discontinue B Corp certification, or (iii) the actual lapse or revocation of B Corp certification (a "Decertification Event").</w:t>
      </w:r>
    </w:p>
    <w:p>
      <w:pPr>
        <w:spacing w:after="0" w:line="120" w:lineRule="auto"/>
      </w:pPr>
    </w:p>
    <w:p>
      <w:r>
        <w:rPr>
          <w:b/>
        </w:rPr>
        <w:t xml:space="preserve">(c) Enhanced Liquidation Multiple.</w:t>
      </w:r>
      <w:r>
        <w:t xml:space="preserve"> In the event of a Decertification Event that is not cured within one hundred eighty (180) days, the Investor's liquidation preference shall automatically increase from one times (1.0x) the Purchase Amount to one and one-half times (1.5x) the Purchase Amount (the "Enhanced Liquidation Multiple"). For the avoidance of doubt, if the B Corp certification is restored within the 180-day cure period, the liquidation preference shall remain at the standard 1.0x level. The applicable liquidation preference (1.0x or 1.5x) is referred to herein as the "Liquidation Multiple."</w:t>
      </w:r>
    </w:p>
    <w:p>
      <w:pPr>
        <w:spacing w:after="0" w:line="120" w:lineRule="auto"/>
      </w:pPr>
    </w:p>
    <w:p>
      <w:r>
        <w:rPr>
          <w:b/>
        </w:rPr>
        <w:t xml:space="preserve">(d) ESG Reporting.</w:t>
      </w:r>
      <w:r>
        <w:t xml:space="preserve"> The Company shall deliver to the Investor, within forty-five (45) days of the end of each fiscal quarter, a written ESG report (the "Quarterly ESG Report") containing at minimum:</w:t>
      </w:r>
    </w:p>
    <w:p>
      <w:pPr>
        <w:spacing w:after="0" w:line="120" w:lineRule="auto"/>
      </w:pPr>
    </w:p>
    <w:p>
      <w:r>
        <w:t xml:space="preserve">(i) Total metric tons of carbon dioxide equivalent (CO2e) sequestered or offset during the quarter;</w:t>
      </w:r>
    </w:p>
    <w:p>
      <w:pPr>
        <w:spacing w:after="0" w:line="120" w:lineRule="auto"/>
      </w:pPr>
    </w:p>
    <w:p>
      <w:r>
        <w:t xml:space="preserve">(ii) Scope 1 and Scope 2 greenhouse gas emissions of the Company's operations;</w:t>
      </w:r>
    </w:p>
    <w:p>
      <w:pPr>
        <w:spacing w:after="0" w:line="120" w:lineRule="auto"/>
      </w:pPr>
    </w:p>
    <w:p>
      <w:r>
        <w:t xml:space="preserve">(iii) Percentage of revenue derived from carbon credit sales, voluntary carbon markets, and compliance carbon markets;</w:t>
      </w:r>
    </w:p>
    <w:p>
      <w:pPr>
        <w:spacing w:after="0" w:line="120" w:lineRule="auto"/>
      </w:pPr>
    </w:p>
    <w:p>
      <w:r>
        <w:t xml:space="preserve">(iv) A narrative summary of progress toward the Company's stated climate impact goals as set forth in the Company's most recent B Impact Assessment;</w:t>
      </w:r>
    </w:p>
    <w:p>
      <w:pPr>
        <w:spacing w:after="0" w:line="120" w:lineRule="auto"/>
      </w:pPr>
    </w:p>
    <w:p>
      <w:r>
        <w:t xml:space="preserve">(v) Any material environmental incidents, regulatory actions, or litigation matters.</w:t>
      </w:r>
    </w:p>
    <w:p>
      <w:pPr>
        <w:spacing w:after="0" w:line="120" w:lineRule="auto"/>
      </w:pPr>
    </w:p>
    <w:p>
      <w:r>
        <w:rPr>
          <w:b/>
        </w:rPr>
        <w:t xml:space="preserve">(e) Remedies for Reporting Failure.</w:t>
      </w:r>
      <w:r>
        <w:t xml:space="preserve"> If the Company fails to deliver any Quarterly ESG Report within the required timeframe and does not cure such failure within thirty (30) days of written notice from the Investor, the Investor shall have the right, but not the obligation, to engage an independent third-party ESG auditor (at the Company's expense, capped at $15,000 per audit) to prepare such report.</w:t>
      </w:r>
    </w:p>
    <w:p>
      <w:pPr>
        <w:spacing w:after="0" w:line="120" w:lineRule="auto"/>
      </w:pPr>
    </w:p>
    <w:p>
      <w:pPr>
        <w:pStyle w:val="Heading3"/>
      </w:pPr>
      <w:r>
        <w:t xml:space="preserve">6. Miscellaneous</w:t>
      </w:r>
    </w:p>
    <w:p>
      <w:pPr>
        <w:spacing w:after="0" w:line="120" w:lineRule="auto"/>
      </w:pPr>
    </w:p>
    <w:p>
      <w:r>
        <w:rPr>
          <w:b/>
        </w:rPr>
        <w:t xml:space="preserve">(a) Amendment.</w:t>
      </w:r>
      <w:r>
        <w:t xml:space="preserve"> Any provision of this Safe may be amended, waived or modified by written consent of the Company and either (i) the Investor or (ii) the majority-in-interest of all then-outstanding Safes with the same Post-Money Valuation Cap; provided, however, that Section 5 (Sustainability Covenant) may not be amended without the Investor's express written consent.</w:t>
      </w:r>
    </w:p>
    <w:p>
      <w:pPr>
        <w:spacing w:after="0" w:line="120" w:lineRule="auto"/>
      </w:pPr>
    </w:p>
    <w:p>
      <w:r>
        <w:rPr>
          <w:b/>
        </w:rPr>
        <w:t xml:space="preserve">(b) Governing Law.</w:t>
      </w:r>
      <w:r>
        <w:t xml:space="preserve"> This Safe shall be governed by and construed in accordance with the laws of the State of Delaware.</w:t>
      </w:r>
    </w:p>
    <w:p>
      <w:pPr>
        <w:spacing w:after="0" w:line="120" w:lineRule="auto"/>
      </w:pPr>
    </w:p>
    <w:p>
      <w:r>
        <w:rPr>
          <w:b/>
        </w:rPr>
        <w:t xml:space="preserve">(c) Assignment.</w:t>
      </w:r>
      <w:r>
        <w:t xml:space="preserve"> Neither this Safe nor the rights contained herein may be assigned by either party without the prior written consent of the other; provided, however, that the Investor may assign this Safe to any entity that is a signatory to the UN Principles for Responsible Investment or that is a certified B Corporation.</w:t>
      </w:r>
    </w:p>
    <w:p>
      <w:pPr>
        <w:spacing w:after="0" w:line="120" w:lineRule="auto"/>
      </w:pPr>
    </w:p>
    <w:p>
      <w:r>
        <w:rPr>
          <w:b/>
        </w:rPr>
        <w:t xml:space="preserve">(d) Entire Agreement.</w:t>
      </w:r>
      <w:r>
        <w:t xml:space="preserve"> This Safe constitutes the full and entire understanding and agreement between the parties with respect to the subject matter hereof.</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GreenGrid Carbon Inc.</w:t>
      </w:r>
    </w:p>
    <w:p>
      <w:r>
        <w:t xml:space="preserve">By: /s/ Amara Osei</w:t>
      </w:r>
    </w:p>
    <w:p>
      <w:r>
        <w:t xml:space="preserve">Name: Amara Osei</w:t>
      </w:r>
    </w:p>
    <w:p>
      <w:r>
        <w:t xml:space="preserve">Title: Chief Executive Officer</w:t>
      </w:r>
    </w:p>
    <w:p>
      <w:pPr>
        <w:spacing w:after="0" w:line="120" w:lineRule="auto"/>
      </w:pPr>
    </w:p>
    <w:p>
      <w:r>
        <w:rPr>
          <w:b/>
        </w:rPr>
        <w:t xml:space="preserve">INVESTOR:</w:t>
      </w:r>
    </w:p>
    <w:p>
      <w:r>
        <w:t xml:space="preserve">Climate Justice Capital</w:t>
      </w:r>
    </w:p>
    <w:p>
      <w:r>
        <w:t xml:space="preserve">By: /s/ William Thornberry</w:t>
      </w:r>
    </w:p>
    <w:p>
      <w:r>
        <w:t xml:space="preserve">Name: William Thornberry</w:t>
      </w:r>
    </w:p>
    <w:p>
      <w:r>
        <w:t xml:space="preserve">Title: Managing Partner</w:t>
      </w:r>
    </w:p>
    <w:p>
      <w:pPr>
        <w:spacing w:after="0" w:line="120" w:lineRule="auto"/>
      </w:pPr>
    </w:p>
    <w:p>
      <w:r>
        <w:t xml:space="preserve">Purchase Amount received: $400,000.00</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