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SAFE (Simple Agreement for Future Equity)</w:t>
      </w:r>
    </w:p>
    <w:p>
      <w:pPr>
        <w:spacing w:after="0" w:line="120" w:lineRule="auto"/>
      </w:pPr>
    </w:p>
    <w:p>
      <w:pPr>
        <w:pStyle w:val="Heading2"/>
      </w:pPr>
      <w:r>
        <w:t xml:space="preserve">MedScribe AI Corp. — Post-Money SAFE with Strategic Terms</w:t>
      </w:r>
    </w:p>
    <w:p>
      <w:pPr>
        <w:spacing w:after="0" w:line="120" w:lineRule="auto"/>
      </w:pPr>
    </w:p>
    <w:p>
      <w:r>
        <w:rPr>
          <w:b/>
        </w:rPr>
        <w:t xml:space="preserve">Date:</w:t>
      </w:r>
      <w:r>
        <w:t xml:space="preserve"> April 14, 2025</w:t>
      </w:r>
    </w:p>
    <w:p>
      <w:pPr>
        <w:spacing w:after="0" w:line="120" w:lineRule="auto"/>
      </w:pPr>
    </w:p>
    <w:p>
      <w:pPr>
        <w:pStyle w:val="HorizontalRule"/>
      </w:pPr>
    </w:p>
    <w:p>
      <w:pPr>
        <w:spacing w:after="0" w:line="120" w:lineRule="auto"/>
      </w:pPr>
    </w:p>
    <w:p>
      <w:r>
        <w:t xml:space="preserve">THIS CERTIFIES THAT in exchange for the payment by Mayo Clinic Ventures (the "Investor") of $3,000,000.00 (the "Purchase Amount") on or about April 14, 2025, MedScribe AI Corp., a Delaware corporation (the "Company"), hereby issues to the Investor the right to certain shares of the Company's capital stock, subject to the terms set forth below.</w:t>
      </w:r>
    </w:p>
    <w:p>
      <w:pPr>
        <w:spacing w:after="0" w:line="120" w:lineRule="auto"/>
      </w:pPr>
    </w:p>
    <w:p>
      <w:r>
        <w:t xml:space="preserve">The parties acknowledge that this Safe includes certain strategic partnership provisions set forth in Section 5, which are material to the Investor's decision to make this investment.</w:t>
      </w:r>
    </w:p>
    <w:p>
      <w:pPr>
        <w:spacing w:after="0" w:line="120" w:lineRule="auto"/>
      </w:pPr>
    </w:p>
    <w:p>
      <w:pPr>
        <w:pStyle w:val="HorizontalRule"/>
      </w:pPr>
    </w:p>
    <w:p>
      <w:pPr>
        <w:spacing w:after="0" w:line="120" w:lineRule="auto"/>
      </w:pPr>
    </w:p>
    <w:p>
      <w:pPr>
        <w:pStyle w:val="Heading3"/>
      </w:pPr>
      <w:r>
        <w:t xml:space="preserve">1. Events</w:t>
      </w:r>
    </w:p>
    <w:p>
      <w:pPr>
        <w:spacing w:after="0" w:line="120" w:lineRule="auto"/>
      </w:pPr>
    </w:p>
    <w:p>
      <w:r>
        <w:rPr>
          <w:b/>
        </w:rPr>
        <w:t xml:space="preserve">(a) Equity Financing.</w:t>
      </w:r>
      <w:r>
        <w:t xml:space="preserve"> 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spacing w:after="0" w:line="120" w:lineRule="auto"/>
      </w:pPr>
    </w:p>
    <w:p>
      <w:r>
        <w:t xml:space="preserve">In connection with the automatic conversion of this Safe into shares of Safe Preferred Stock, the Investor will execute and deliver to the Company all of the transaction documents related to the Equity Financing; provided, that such documents (i) are the same documents to be entered into with the purchasers of Standard Preferred Stock, with appropriate variations for the Safe Preferred Stock if applicable, and (ii) have customary exceptions to any drag-along applicable to the Investor.</w:t>
      </w:r>
    </w:p>
    <w:p>
      <w:pPr>
        <w:spacing w:after="0" w:line="120" w:lineRule="auto"/>
      </w:pPr>
    </w:p>
    <w:p>
      <w:r>
        <w:rPr>
          <w:b/>
        </w:rPr>
        <w:t xml:space="preserve">(b) Qualified Equity Financing.</w:t>
      </w:r>
      <w:r>
        <w:t xml:space="preserve"> For the avoidance of doubt, an "Equity Financing" for purposes of this Safe means a bona fide transaction or series of transactions with the principal purpose of raising capital, pursuant to which the Company issues and sells Preferred Stock at a fixed pre-money valuation, and in which the Company raises aggregate gross proceeds of at least $15,000,000 (the "Qualified Financing Threshold"). Financings raising less than the Qualified Financing Threshold shall not trigger automatic conversion of this Safe; however, the Company may elect to convert this Safe in connection with any financing raising at least $5,000,000 with the Investor's written consent.</w:t>
      </w:r>
    </w:p>
    <w:p>
      <w:pPr>
        <w:spacing w:after="0" w:line="120" w:lineRule="auto"/>
      </w:pPr>
    </w:p>
    <w:p>
      <w:r>
        <w:rPr>
          <w:b/>
        </w:rPr>
        <w:t xml:space="preserve">(c) Liquidity Event.</w:t>
      </w:r>
      <w:r>
        <w:t xml:space="preserve"> If there is a Liquidity Event before the termination of this Safe, this Safe will automatically be entitled (subject to the liquidation priority set forth in Section 1(e) below) to receive a portion of Proceeds, due and payable to the Investor immediately prior to, or concurrent with, the consummation of such Liquidity Event, equal to the greater of (i) the Purchase Amount or (ii) the amount payable at the Liquidity Event as if the Safe had been converted into Common Stock at the Liquidity Event Conversion Price.</w:t>
      </w:r>
    </w:p>
    <w:p>
      <w:pPr>
        <w:spacing w:after="0" w:line="120" w:lineRule="auto"/>
      </w:pPr>
    </w:p>
    <w:p>
      <w:r>
        <w:rPr>
          <w:b/>
        </w:rPr>
        <w:t xml:space="preserve">(d) Dissolution Event.</w:t>
      </w:r>
      <w:r>
        <w:t xml:space="preserve"> If there is a Dissolution Event before the termination of this Safe, the Company will pay an amount equal to the Purchase Amount, due and payable to the Investor immediately prior to the consummation of the Dissolution Event, subject to the rights and preferences of the holders of the Company's outstanding Preferred Stock, if any.</w:t>
      </w:r>
    </w:p>
    <w:p>
      <w:pPr>
        <w:spacing w:after="0" w:line="120" w:lineRule="auto"/>
      </w:pPr>
    </w:p>
    <w:p>
      <w:r>
        <w:rPr>
          <w:b/>
        </w:rPr>
        <w:t xml:space="preserve">(e) Liquidation Priority.</w:t>
      </w:r>
      <w:r>
        <w:t xml:space="preserve"> In a Liquidity Event or Dissolution Event, this Safe is intended to operate like standard non-participating Preferred Stock. The Investor's right to receive its Purchase Amount is:</w:t>
      </w:r>
    </w:p>
    <w:p>
      <w:pPr>
        <w:spacing w:after="0" w:line="120" w:lineRule="auto"/>
      </w:pPr>
    </w:p>
    <w:p>
      <w:r>
        <w:t xml:space="preserve">(i) Junior to payment of outstanding indebtedness and creditor claims;</w:t>
      </w:r>
    </w:p>
    <w:p>
      <w:pPr>
        <w:spacing w:after="0" w:line="120" w:lineRule="auto"/>
      </w:pPr>
    </w:p>
    <w:p>
      <w:r>
        <w:t xml:space="preserve">(ii) On par with payments for other Safes and/or Preferred Stock;</w:t>
      </w:r>
    </w:p>
    <w:p>
      <w:pPr>
        <w:spacing w:after="0" w:line="120" w:lineRule="auto"/>
      </w:pPr>
    </w:p>
    <w:p>
      <w:r>
        <w:t xml:space="preserve">(iii) Senior to payments for Common Stock.</w:t>
      </w:r>
    </w:p>
    <w:p>
      <w:pPr>
        <w:spacing w:after="0" w:line="120" w:lineRule="auto"/>
      </w:pPr>
    </w:p>
    <w:p>
      <w:pPr>
        <w:pStyle w:val="Heading3"/>
      </w:pPr>
      <w:r>
        <w:t xml:space="preserve">2. Definitions</w:t>
      </w:r>
    </w:p>
    <w:p>
      <w:pPr>
        <w:spacing w:after="0" w:line="120" w:lineRule="auto"/>
      </w:pPr>
    </w:p>
    <w:p>
      <w:r>
        <w:rPr>
          <w:b/>
        </w:rPr>
        <w:t xml:space="preserve">"Conversion Price"</w:t>
      </w:r>
      <w:r>
        <w:t xml:space="preserve"> means the Safe Price (the Company and the Investor acknowledge that this Safe does not include a Discount Rate).</w:t>
      </w:r>
    </w:p>
    <w:p>
      <w:pPr>
        <w:spacing w:after="0" w:line="120" w:lineRule="auto"/>
      </w:pPr>
    </w:p>
    <w:p>
      <w:r>
        <w:rPr>
          <w:b/>
        </w:rPr>
        <w:t xml:space="preserve">"Post-Money Valuation Cap"</w:t>
      </w:r>
      <w:r>
        <w:t xml:space="preserve"> means $80,000,000.</w:t>
      </w:r>
    </w:p>
    <w:p>
      <w:pPr>
        <w:spacing w:after="0" w:line="120" w:lineRule="auto"/>
      </w:pPr>
    </w:p>
    <w:p>
      <w:r>
        <w:rPr>
          <w:b/>
        </w:rPr>
        <w:t xml:space="preserve">"Safe Price"</w:t>
      </w:r>
      <w:r>
        <w:t xml:space="preserve"> means the price per share equal to the Post-Money Valuation Cap divided by the Company Capitalization.</w:t>
      </w:r>
    </w:p>
    <w:p>
      <w:pPr>
        <w:spacing w:after="0" w:line="120" w:lineRule="auto"/>
      </w:pPr>
    </w:p>
    <w:p>
      <w:r>
        <w:rPr>
          <w:b/>
        </w:rPr>
        <w:t xml:space="preserve">"Liquidity Event"</w:t>
      </w:r>
      <w:r>
        <w:t xml:space="preserve"> means a Change of Control or an Initial Public Offering.</w:t>
      </w:r>
    </w:p>
    <w:p>
      <w:pPr>
        <w:spacing w:after="0" w:line="120" w:lineRule="auto"/>
      </w:pPr>
    </w:p>
    <w:p>
      <w:r>
        <w:rPr>
          <w:b/>
        </w:rPr>
        <w:t xml:space="preserve">"Liquidity Event Conversion Price"</w:t>
      </w:r>
      <w:r>
        <w:t xml:space="preserve"> means the price per share equal to the Post-Money Valuation Cap divided by the Liquidity Capitalization.</w:t>
      </w:r>
    </w:p>
    <w:p>
      <w:pPr>
        <w:spacing w:after="0" w:line="120" w:lineRule="auto"/>
      </w:pPr>
    </w:p>
    <w:p>
      <w:pPr>
        <w:pStyle w:val="Heading3"/>
      </w:pPr>
      <w:r>
        <w:t xml:space="preserve">3. Company Representations</w:t>
      </w:r>
    </w:p>
    <w:p>
      <w:pPr>
        <w:spacing w:after="0" w:line="120" w:lineRule="auto"/>
      </w:pPr>
    </w:p>
    <w:p>
      <w:r>
        <w:rPr>
          <w:b/>
        </w:rPr>
        <w:t xml:space="preserve">(a)</w:t>
      </w:r>
      <w:r>
        <w:t xml:space="preserve"> The Company is a corporation duly organized, validly existing, and in good standing under the laws of the State of Delaware.</w:t>
      </w:r>
    </w:p>
    <w:p>
      <w:pPr>
        <w:spacing w:after="0" w:line="120" w:lineRule="auto"/>
      </w:pPr>
    </w:p>
    <w:p>
      <w:r>
        <w:rPr>
          <w:b/>
        </w:rPr>
        <w:t xml:space="preserve">(b)</w:t>
      </w:r>
      <w:r>
        <w:t xml:space="preserve"> The execution, delivery and performance by the Company of this Safe is within the power of the Company and has been duly authorized by all necessary actions on the part of the Company.</w:t>
      </w:r>
    </w:p>
    <w:p>
      <w:pPr>
        <w:spacing w:after="0" w:line="120" w:lineRule="auto"/>
      </w:pPr>
    </w:p>
    <w:p>
      <w:r>
        <w:rPr>
          <w:b/>
        </w:rPr>
        <w:t xml:space="preserve">(c)</w:t>
      </w:r>
      <w:r>
        <w:t xml:space="preserve"> The Company represents that it has implemented and maintains administrative, physical, and technical safeguards in compliance with the Health Insurance Portability and Accountability Act of 1996, as amended ("HIPAA"), including the HIPAA Security Rule (45 C.F.R. Part 164, Subpart C) and the HIPAA Privacy Rule (45 C.F.R. Part 164, Subpart E), to the extent applicable to the Company's operations.</w:t>
      </w:r>
    </w:p>
    <w:p>
      <w:pPr>
        <w:spacing w:after="0" w:line="120" w:lineRule="auto"/>
      </w:pPr>
    </w:p>
    <w:p>
      <w:r>
        <w:rPr>
          <w:b/>
        </w:rPr>
        <w:t xml:space="preserve">(d)</w:t>
      </w:r>
      <w:r>
        <w:t xml:space="preserve"> The Company has not experienced any data breach or security incident involving protected health information ("PHI") within the twelve (12) months preceding the date of this Safe.</w:t>
      </w:r>
    </w:p>
    <w:p>
      <w:pPr>
        <w:spacing w:after="0" w:line="120" w:lineRule="auto"/>
      </w:pPr>
    </w:p>
    <w:p>
      <w:pPr>
        <w:pStyle w:val="Heading3"/>
      </w:pPr>
      <w:r>
        <w:t xml:space="preserve">4. Investor Representations</w:t>
      </w:r>
    </w:p>
    <w:p>
      <w:pPr>
        <w:spacing w:after="0" w:line="120" w:lineRule="auto"/>
      </w:pPr>
    </w:p>
    <w:p>
      <w:r>
        <w:rPr>
          <w:b/>
        </w:rPr>
        <w:t xml:space="preserve">(a)</w:t>
      </w:r>
      <w:r>
        <w:t xml:space="preserve"> The Investor has full legal capacity, power and authority to execute and deliver this Safe.</w:t>
      </w:r>
    </w:p>
    <w:p>
      <w:pPr>
        <w:spacing w:after="0" w:line="120" w:lineRule="auto"/>
      </w:pPr>
    </w:p>
    <w:p>
      <w:r>
        <w:rPr>
          <w:b/>
        </w:rPr>
        <w:t xml:space="preserve">(b)</w:t>
      </w:r>
      <w:r>
        <w:t xml:space="preserve"> The Investor is an accredited investor as defined in Rule 501 of Regulation D under the Securities Act.</w:t>
      </w:r>
    </w:p>
    <w:p>
      <w:pPr>
        <w:spacing w:after="0" w:line="120" w:lineRule="auto"/>
      </w:pPr>
    </w:p>
    <w:p>
      <w:r>
        <w:rPr>
          <w:b/>
        </w:rPr>
        <w:t xml:space="preserve">(c)</w:t>
      </w:r>
      <w:r>
        <w:t xml:space="preserve"> The Investor is purchasing this Safe for the Investor's own account for investment, not as a nominee or agent.</w:t>
      </w:r>
    </w:p>
    <w:p>
      <w:pPr>
        <w:spacing w:after="0" w:line="120" w:lineRule="auto"/>
      </w:pPr>
    </w:p>
    <w:p>
      <w:pPr>
        <w:pStyle w:val="Heading3"/>
      </w:pPr>
      <w:r>
        <w:t xml:space="preserve">5. Strategic Partnership Provisions</w:t>
      </w:r>
    </w:p>
    <w:p>
      <w:pPr>
        <w:spacing w:after="0" w:line="120" w:lineRule="auto"/>
      </w:pPr>
    </w:p>
    <w:p>
      <w:r>
        <w:rPr>
          <w:b/>
        </w:rPr>
        <w:t xml:space="preserve">(a) Exclusive Pilot Program.</w:t>
      </w:r>
      <w:r>
        <w:t xml:space="preserve"> The Company grants to the Investor an exclusive right to be the first clinical institution to deploy the Company's AI-powered clinical documentation product (the "Product") in a production clinical environment (the "Pilot Program"). The Pilot Program shall commence within ninety (90) days of the date of this Safe and shall continue for a period of twelve (12) months (the "Exclusivity Period"). During the Exclusivity Period, the Company shall not grant any other healthcare institution or health system the right to deploy the Product in a production clinical environment; provided, however, that (i) the Company may continue to conduct internal testing, development, and demonstrations, and (ii) the Company may enter into letters of intent or non-binding agreements with other institutions for deployment following the expiration of the Exclusivity Period.</w:t>
      </w:r>
    </w:p>
    <w:p>
      <w:pPr>
        <w:spacing w:after="0" w:line="120" w:lineRule="auto"/>
      </w:pPr>
    </w:p>
    <w:p>
      <w:r>
        <w:rPr>
          <w:b/>
        </w:rPr>
        <w:t xml:space="preserve">(b) Pilot Program Terms.</w:t>
      </w:r>
      <w:r>
        <w:t xml:space="preserve"> The Pilot Program shall be conducted pursuant to a separate Pilot Agreement to be negotiated in good faith within thirty (30) days of the date of this Safe. The Pilot Agreement shall include, at minimum: (i) deployment of the Product in at least two (2) clinical departments selected by the Investor, (ii) a joint steering committee with equal representation from the Company and the Investor, (iii) defined success metrics, and (iv) provisions for patient data handling consistent with HIPAA and the data restrictions set forth in Section 5(c).</w:t>
      </w:r>
    </w:p>
    <w:p>
      <w:pPr>
        <w:spacing w:after="0" w:line="120" w:lineRule="auto"/>
      </w:pPr>
    </w:p>
    <w:p>
      <w:r>
        <w:rPr>
          <w:b/>
        </w:rPr>
        <w:t xml:space="preserve">(c) Data Usage Restrictions.</w:t>
      </w:r>
      <w:r>
        <w:t xml:space="preserve"> The Company covenants that it shall not, without the prior written consent of the Investor:</w:t>
      </w:r>
    </w:p>
    <w:p>
      <w:pPr>
        <w:spacing w:after="0" w:line="120" w:lineRule="auto"/>
      </w:pPr>
    </w:p>
    <w:p>
      <w:r>
        <w:t xml:space="preserve">(i) Sell, license, or otherwise make available to any third party any anonymized, de-identified, or aggregated clinical data derived from the Pilot Program or from any subsequent commercial deployment with the Investor;</w:t>
      </w:r>
    </w:p>
    <w:p>
      <w:pPr>
        <w:spacing w:after="0" w:line="120" w:lineRule="auto"/>
      </w:pPr>
    </w:p>
    <w:p>
      <w:r>
        <w:t xml:space="preserve">(ii) Use clinical data obtained through the Investor relationship to train machine learning models that would be deployed exclusively for the benefit of a direct competitor of the Investor (as mutually determined in good faith by the parties);</w:t>
      </w:r>
    </w:p>
    <w:p>
      <w:pPr>
        <w:spacing w:after="0" w:line="120" w:lineRule="auto"/>
      </w:pPr>
    </w:p>
    <w:p>
      <w:r>
        <w:t xml:space="preserve">(iii) Disclose to any third party the identity of the Investor as a customer or pilot partner without the Investor's prior written consent.</w:t>
      </w:r>
    </w:p>
    <w:p>
      <w:pPr>
        <w:spacing w:after="0" w:line="120" w:lineRule="auto"/>
      </w:pPr>
    </w:p>
    <w:p>
      <w:r>
        <w:t xml:space="preserve">The restrictions in this Section 5(c) shall survive the termination or conversion of this Safe for a period of five (5) years.</w:t>
      </w:r>
    </w:p>
    <w:p>
      <w:pPr>
        <w:spacing w:after="0" w:line="120" w:lineRule="auto"/>
      </w:pPr>
    </w:p>
    <w:p>
      <w:r>
        <w:rPr>
          <w:b/>
        </w:rPr>
        <w:t xml:space="preserve">(d) HIPAA Compliance Covenant.</w:t>
      </w:r>
      <w:r>
        <w:t xml:space="preserve"> For so long as this Safe remains outstanding and for twelve (12) months following its conversion, the Company shall (i) maintain compliance with all applicable HIPAA requirements, (ii) promptly notify the Investor of any breach or suspected breach of unsecured PHI affecting the Investor's data, (iii) execute a Business Associate Agreement in the form reasonably acceptable to the Investor prior to accessing any PHI, and (iv) maintain cyber liability insurance with coverage of at least $5,000,000 per occurrence.</w:t>
      </w:r>
    </w:p>
    <w:p>
      <w:pPr>
        <w:spacing w:after="0" w:line="120" w:lineRule="auto"/>
      </w:pPr>
    </w:p>
    <w:p>
      <w:pPr>
        <w:pStyle w:val="Heading3"/>
      </w:pPr>
      <w:r>
        <w:t xml:space="preserve">6. Miscellaneous</w:t>
      </w:r>
    </w:p>
    <w:p>
      <w:pPr>
        <w:spacing w:after="0" w:line="120" w:lineRule="auto"/>
      </w:pPr>
    </w:p>
    <w:p>
      <w:r>
        <w:rPr>
          <w:b/>
        </w:rPr>
        <w:t xml:space="preserve">(a) Amendment.</w:t>
      </w:r>
      <w:r>
        <w:t xml:space="preserve"> Any provision of this Safe may be amended, waived or modified by written consent of the Company and the Investor. For the avoidance of doubt, Section 5 (Strategic Partnership Provisions) may not be amended without the Investor's express written consent, and shall survive conversion of this Safe into equity securities.</w:t>
      </w:r>
    </w:p>
    <w:p>
      <w:pPr>
        <w:spacing w:after="0" w:line="120" w:lineRule="auto"/>
      </w:pPr>
    </w:p>
    <w:p>
      <w:r>
        <w:rPr>
          <w:b/>
        </w:rPr>
        <w:t xml:space="preserve">(b) Governing Law.</w:t>
      </w:r>
      <w:r>
        <w:t xml:space="preserve"> This Safe shall be governed by and construed in accordance with the laws of the State of Delaware, without regard to its conflict of law provisions.</w:t>
      </w:r>
    </w:p>
    <w:p>
      <w:pPr>
        <w:spacing w:after="0" w:line="120" w:lineRule="auto"/>
      </w:pPr>
    </w:p>
    <w:p>
      <w:r>
        <w:rPr>
          <w:b/>
        </w:rPr>
        <w:t xml:space="preserve">(c) Dispute Resolution.</w:t>
      </w:r>
      <w:r>
        <w:t xml:space="preserve"> Any dispute arising out of or relating to this Safe, including without limitation the Strategic Partnership Provisions, shall be resolved by binding arbitration administered by the American Arbitration Association under its Commercial Arbitration Rules. The arbitration shall be conducted in Rochester, Minnesota, by a single arbitrator with experience in healthcare technology transactions.</w:t>
      </w:r>
    </w:p>
    <w:p>
      <w:pPr>
        <w:spacing w:after="0" w:line="120" w:lineRule="auto"/>
      </w:pPr>
    </w:p>
    <w:p>
      <w:r>
        <w:rPr>
          <w:b/>
        </w:rPr>
        <w:t xml:space="preserve">(d) Assignment.</w:t>
      </w:r>
      <w:r>
        <w:t xml:space="preserve"> Neither this Safe nor the rights contained herein may be assigned by either party without the prior written consent of the other; provided, however, that the Investor may assign this Safe to any affiliate or successor entity of Mayo Clinic.</w:t>
      </w:r>
    </w:p>
    <w:p>
      <w:pPr>
        <w:spacing w:after="0" w:line="120" w:lineRule="auto"/>
      </w:pPr>
    </w:p>
    <w:p>
      <w:r>
        <w:rPr>
          <w:b/>
        </w:rPr>
        <w:t xml:space="preserve">(e) Entire Agreement.</w:t>
      </w:r>
      <w:r>
        <w:t xml:space="preserve"> This Safe constitutes the full and entire understanding and agreement between the parties with respect to the subject matter hereof.</w:t>
      </w:r>
    </w:p>
    <w:p>
      <w:pPr>
        <w:spacing w:after="0" w:line="120" w:lineRule="auto"/>
      </w:pPr>
    </w:p>
    <w:p>
      <w:pPr>
        <w:pStyle w:val="HorizontalRule"/>
      </w:pPr>
    </w:p>
    <w:p>
      <w:pPr>
        <w:spacing w:after="0" w:line="120" w:lineRule="auto"/>
      </w:pPr>
    </w:p>
    <w:p>
      <w:r>
        <w:rPr>
          <w:b/>
        </w:rPr>
        <w:t xml:space="preserve">IN WITNESS WHEREOF,</w:t>
      </w:r>
      <w:r>
        <w:t xml:space="preserve"> the undersigned have caused this Safe to be duly executed and delivered.</w:t>
      </w:r>
    </w:p>
    <w:p>
      <w:pPr>
        <w:spacing w:after="0" w:line="120" w:lineRule="auto"/>
      </w:pPr>
    </w:p>
    <w:p>
      <w:r>
        <w:rPr>
          <w:b/>
        </w:rPr>
        <w:t xml:space="preserve">COMPANY:</w:t>
      </w:r>
    </w:p>
    <w:p>
      <w:r>
        <w:t xml:space="preserve">MedScribe AI Corp.</w:t>
      </w:r>
    </w:p>
    <w:p>
      <w:r>
        <w:t xml:space="preserve">By: /s/ Dr. Sarah Kim</w:t>
      </w:r>
    </w:p>
    <w:p>
      <w:r>
        <w:t xml:space="preserve">Name: Dr. Sarah Kim</w:t>
      </w:r>
    </w:p>
    <w:p>
      <w:r>
        <w:t xml:space="preserve">Title: Chief Executive Officer</w:t>
      </w:r>
    </w:p>
    <w:p>
      <w:pPr>
        <w:spacing w:after="0" w:line="120" w:lineRule="auto"/>
      </w:pPr>
    </w:p>
    <w:p>
      <w:r>
        <w:rPr>
          <w:b/>
        </w:rPr>
        <w:t xml:space="preserve">INVESTOR:</w:t>
      </w:r>
    </w:p>
    <w:p>
      <w:r>
        <w:t xml:space="preserve">Mayo Clinic Ventures</w:t>
      </w:r>
    </w:p>
    <w:p>
      <w:r>
        <w:t xml:space="preserve">By: /s/ Dr. Robert Nelsen</w:t>
      </w:r>
    </w:p>
    <w:p>
      <w:r>
        <w:t xml:space="preserve">Name: Dr. Robert Nelsen</w:t>
      </w:r>
    </w:p>
    <w:p>
      <w:r>
        <w:t xml:space="preserve">Title: Vice President, Ventures and Business Development</w:t>
      </w:r>
    </w:p>
    <w:p>
      <w:pPr>
        <w:spacing w:after="0" w:line="120" w:lineRule="auto"/>
      </w:pPr>
    </w:p>
    <w:p>
      <w:r>
        <w:t xml:space="preserve">Purchase Amount received: $3,000,000.00</w:t>
      </w:r>
    </w:p>
    <w:p>
      <w:pPr>
        <w:spacing w:after="0" w:line="120" w:lineRule="auto"/>
      </w:pP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styleId="Normal">
    <w:name w:val="Normal"/>
    <w:qFormat/>
  </w:style>
  <w:style w:type="paragraph" w:styleId="Heading1">
    <w:name w:val="heading 1"/>
    <w:qFormat/>
    <w:pPr>
      <w:spacing w:before="360" w:after="120"/>
    </w:pPr>
    <w:rPr>
      <w:rFonts w:ascii="Calibri" w:hAnsi="Calibri"/>
      <w:b/>
      <w:color w:val="1F3864"/>
      <w:sz w:val="36"/>
      <w:szCs w:val="36"/>
    </w:rPr>
  </w:style>
  <w:style w:type="paragraph" w:styleId="Heading2">
    <w:name w:val="heading 2"/>
    <w:qFormat/>
    <w:pPr>
      <w:spacing w:before="240" w:after="80"/>
    </w:pPr>
    <w:rPr>
      <w:rFonts w:ascii="Calibri" w:hAnsi="Calibri"/>
      <w:b/>
      <w:color w:val="2E75B6"/>
      <w:sz w:val="28"/>
      <w:szCs w:val="28"/>
    </w:rPr>
  </w:style>
  <w:style w:type="paragraph" w:styleId="Heading3">
    <w:name w:val="heading 3"/>
    <w:qFormat/>
    <w:pPr>
      <w:spacing w:before="200" w:after="60"/>
    </w:pPr>
    <w:rPr>
      <w:rFonts w:ascii="Calibri" w:hAnsi="Calibri"/>
      <w:b/>
      <w:color w:val="404040"/>
      <w:sz w:val="24"/>
      <w:szCs w:val="24"/>
    </w:rPr>
  </w:style>
  <w:style w:type="paragraph" w:styleId="ListBullet">
    <w:name w:val="List Bullet"/>
    <w:pPr>
      <w:ind w:left="720" w:hanging="360"/>
      <w:spacing w:after="60"/>
    </w:pPr>
  </w:style>
  <w:style w:type="paragraph" w:styleId="HorizontalRule">
    <w:name w:val="Horizontal Rule"/>
    <w:pPr>
      <w:pBdr>
        <w:bottom w:val="single" w:sz="6" w:space="1" w:color="CCCCCC"/>
      </w:pBdr>
      <w:spacing w:before="120" w:after="120"/>
    </w:pPr>
    <w:rPr>
      <w:sz w:val="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