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 xml:space="preserve">SAFE (Simple Agreement for Future Equity)</w:t>
      </w:r>
    </w:p>
    <w:p>
      <w:pPr>
        <w:spacing w:after="0" w:line="120" w:lineRule="auto"/>
      </w:pPr>
    </w:p>
    <w:p>
      <w:pPr>
        <w:pStyle w:val="Heading2"/>
      </w:pPr>
      <w:r>
        <w:t xml:space="preserve">NovaByte Inc. — Pre-Money Valuation Cap</w:t>
      </w:r>
    </w:p>
    <w:p>
      <w:pPr>
        <w:spacing w:after="0" w:line="120" w:lineRule="auto"/>
      </w:pPr>
    </w:p>
    <w:p>
      <w:r>
        <w:rPr>
          <w:b/>
        </w:rPr>
        <w:t xml:space="preserve">Date:</w:t>
      </w:r>
      <w:r>
        <w:t xml:space="preserve"> March 22, 2024</w:t>
      </w:r>
    </w:p>
    <w:p>
      <w:pPr>
        <w:spacing w:after="0" w:line="120" w:lineRule="auto"/>
      </w:pPr>
    </w:p>
    <w:p>
      <w:pPr>
        <w:pStyle w:val="HorizontalRule"/>
      </w:pPr>
    </w:p>
    <w:p>
      <w:pPr>
        <w:spacing w:after="0" w:line="120" w:lineRule="auto"/>
      </w:pPr>
    </w:p>
    <w:p>
      <w:r>
        <w:t xml:space="preserve">THIS CERTIFIES THAT in exchange for the payment by Code Capital Partners (the "Investor") of $500,000.00 (the "Purchase Amount") on or about March 22, 2024, NovaByte Inc., a Delaware corporation (the "Company"), hereby issues to the Investor the right to certain shares of the Company's capital stock, subject to the terms set forth below.</w:t>
      </w:r>
    </w:p>
    <w:p>
      <w:pPr>
        <w:spacing w:after="0" w:line="120" w:lineRule="auto"/>
      </w:pPr>
    </w:p>
    <w:p>
      <w:r>
        <w:rPr>
          <w:b/>
        </w:rPr>
        <w:t xml:space="preserve">NOTE: This Safe utilizes a pre-money valuation cap structure.</w:t>
      </w:r>
      <w:r>
        <w:t xml:space="preserve"> The Company Capitalization for purposes of calculating the Safe Price does NOT include the shares issuable upon conversion of this Safe or any other outstanding Safes or convertible instruments.</w:t>
      </w:r>
    </w:p>
    <w:p>
      <w:pPr>
        <w:spacing w:after="0" w:line="120" w:lineRule="auto"/>
      </w:pPr>
    </w:p>
    <w:p>
      <w:pPr>
        <w:pStyle w:val="HorizontalRule"/>
      </w:pPr>
    </w:p>
    <w:p>
      <w:pPr>
        <w:spacing w:after="0" w:line="120" w:lineRule="auto"/>
      </w:pPr>
    </w:p>
    <w:p>
      <w:pPr>
        <w:pStyle w:val="Heading3"/>
      </w:pPr>
      <w:r>
        <w:t xml:space="preserve">1. Events</w:t>
      </w:r>
    </w:p>
    <w:p>
      <w:pPr>
        <w:spacing w:after="0" w:line="120" w:lineRule="auto"/>
      </w:pPr>
    </w:p>
    <w:p>
      <w:r>
        <w:rPr>
          <w:b/>
        </w:rPr>
        <w:t xml:space="preserve">(a) Equity Financing.</w:t>
      </w:r>
      <w:r>
        <w:t xml:space="preserve"> 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spacing w:after="0" w:line="120" w:lineRule="auto"/>
      </w:pPr>
    </w:p>
    <w:p>
      <w:r>
        <w:t xml:space="preserve">The "Conversion Price" means either: (1) the Safe Price, or (2) the price per share of the Standard Preferred Stock sold in the Equity Financing, whichever calculation produces a greater number of shares of Safe Preferred Stock.</w:t>
      </w:r>
    </w:p>
    <w:p>
      <w:pPr>
        <w:spacing w:after="0" w:line="120" w:lineRule="auto"/>
      </w:pPr>
    </w:p>
    <w:p>
      <w:r>
        <w:rPr>
          <w:b/>
        </w:rPr>
        <w:t xml:space="preserve">(b) Liquidity Event.</w:t>
      </w:r>
      <w:r>
        <w:t xml:space="preserve"> If there is a Liquidity Event before the termination of this Safe, this Safe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or (ii) the amount payable at the Liquidity Event as if the Safe had been converted into Common Stock at a price per share equal to the Pre-Money Valuation Cap divided by the Pre-Money Capitalization.</w:t>
      </w:r>
    </w:p>
    <w:p>
      <w:pPr>
        <w:spacing w:after="0" w:line="120" w:lineRule="auto"/>
      </w:pPr>
    </w:p>
    <w:p>
      <w:r>
        <w:rPr>
          <w:b/>
        </w:rPr>
        <w:t xml:space="preserve">(c) Dissolution Event.</w:t>
      </w:r>
      <w:r>
        <w:t xml:space="preserve"> If there is a Dissolution Event before the termination of this Safe, the Company will pay an amount equal to the Purchase Amount, due and payable to the Investor immediately prior to the consummation of the Dissolution Event, subject to the rights and preferences of the holders of the Company's outstanding Preferred Stock, if any. The Purchase Amount will be paid to the Investor prior to any distribution of any of the assets of the Company to holders of the Company's Common Stock.</w:t>
      </w:r>
    </w:p>
    <w:p>
      <w:pPr>
        <w:spacing w:after="0" w:line="120" w:lineRule="auto"/>
      </w:pPr>
    </w:p>
    <w:p>
      <w:r>
        <w:rPr>
          <w:b/>
        </w:rPr>
        <w:t xml:space="preserve">(d) Liquidation Priority.</w:t>
      </w:r>
      <w:r>
        <w:t xml:space="preserve"> In a Liquidity Event or Dissolution Event, this Safe is intended to operate like standard non-participating Preferred Stock. The Investor's right to receive its Purchase Amount is:</w:t>
      </w:r>
    </w:p>
    <w:p>
      <w:pPr>
        <w:spacing w:after="0" w:line="120" w:lineRule="auto"/>
      </w:pPr>
    </w:p>
    <w:p>
      <w:r>
        <w:t xml:space="preserve">(i) Junior to payment of outstanding indebtedness and creditor claims;</w:t>
      </w:r>
    </w:p>
    <w:p>
      <w:pPr>
        <w:spacing w:after="0" w:line="120" w:lineRule="auto"/>
      </w:pPr>
    </w:p>
    <w:p>
      <w:r>
        <w:t xml:space="preserve">(ii) On par with payments for other Safes and/or Preferred Stock;</w:t>
      </w:r>
    </w:p>
    <w:p>
      <w:pPr>
        <w:spacing w:after="0" w:line="120" w:lineRule="auto"/>
      </w:pPr>
    </w:p>
    <w:p>
      <w:r>
        <w:t xml:space="preserve">(iii) Senior to payments for Common Stock.</w:t>
      </w:r>
    </w:p>
    <w:p>
      <w:pPr>
        <w:spacing w:after="0" w:line="120" w:lineRule="auto"/>
      </w:pPr>
    </w:p>
    <w:p>
      <w:pPr>
        <w:pStyle w:val="Heading3"/>
      </w:pPr>
      <w:r>
        <w:t xml:space="preserve">2. Definitions</w:t>
      </w:r>
    </w:p>
    <w:p>
      <w:pPr>
        <w:spacing w:after="0" w:line="120" w:lineRule="auto"/>
      </w:pPr>
    </w:p>
    <w:p>
      <w:r>
        <w:rPr>
          <w:b/>
        </w:rPr>
        <w:t xml:space="preserve">"Pre-Money Valuation Cap"</w:t>
      </w:r>
      <w:r>
        <w:t xml:space="preserve"> means $12,000,000.</w:t>
      </w:r>
    </w:p>
    <w:p>
      <w:pPr>
        <w:spacing w:after="0" w:line="120" w:lineRule="auto"/>
      </w:pPr>
    </w:p>
    <w:p>
      <w:r>
        <w:rPr>
          <w:b/>
        </w:rPr>
        <w:t xml:space="preserve">"Pre-Money Capitalization"</w:t>
      </w:r>
      <w:r>
        <w:t xml:space="preserve"> means the aggregate number of shares of the Company's capital stock (on an as-converted basis) outstanding immediately prior to the Equity Financing, excluding: (i) shares issuable upon conversion of this Safe; (ii) unissued shares reserved under the Company's existing equity incentive plans; and (iii) any shares issuable upon conversion of other Safes, convertible notes, or similar instruments.</w:t>
      </w:r>
    </w:p>
    <w:p>
      <w:pPr>
        <w:spacing w:after="0" w:line="120" w:lineRule="auto"/>
      </w:pPr>
    </w:p>
    <w:p>
      <w:r>
        <w:rPr>
          <w:b/>
        </w:rPr>
        <w:t xml:space="preserve">"Safe Price"</w:t>
      </w:r>
      <w:r>
        <w:t xml:space="preserve"> means the price per share equal to the Pre-Money Valuation Cap divided by the Pre-Money Capitalization.</w:t>
      </w:r>
    </w:p>
    <w:p>
      <w:pPr>
        <w:spacing w:after="0" w:line="120" w:lineRule="auto"/>
      </w:pPr>
    </w:p>
    <w:p>
      <w:r>
        <w:rPr>
          <w:b/>
        </w:rPr>
        <w:t xml:space="preserve">"Equity Financing"</w:t>
      </w:r>
      <w:r>
        <w:t xml:space="preserve"> means a bona fide transaction or series of transactions with the principal purpose of raising capital, pursuant to which the Company issues and sells Preferred Stock at a fixed pre-money valuation.</w:t>
      </w:r>
    </w:p>
    <w:p>
      <w:pPr>
        <w:spacing w:after="0" w:line="120" w:lineRule="auto"/>
      </w:pPr>
    </w:p>
    <w:p>
      <w:r>
        <w:rPr>
          <w:b/>
        </w:rPr>
        <w:t xml:space="preserve">"Liquidity Event"</w:t>
      </w:r>
      <w:r>
        <w:t xml:space="preserve"> means a Change of Control or an Initial Public Offering.</w:t>
      </w:r>
    </w:p>
    <w:p>
      <w:pPr>
        <w:spacing w:after="0" w:line="120" w:lineRule="auto"/>
      </w:pPr>
    </w:p>
    <w:p>
      <w:pPr>
        <w:pStyle w:val="Heading3"/>
      </w:pPr>
      <w:r>
        <w:t xml:space="preserve">3. Anti-Dilution Protection</w:t>
      </w:r>
    </w:p>
    <w:p>
      <w:pPr>
        <w:spacing w:after="0" w:line="120" w:lineRule="auto"/>
      </w:pPr>
    </w:p>
    <w:p>
      <w:r>
        <w:rPr>
          <w:b/>
        </w:rPr>
        <w:t xml:space="preserve">(a) Broad-Based Weighted Average.</w:t>
      </w:r>
      <w:r>
        <w:t xml:space="preserve"> If the Company issues additional equity securities (other than Exempted Issuances) at a price per share less than the Conversion Price in effect immediately prior to such issuance (a "Down Round"), the Conversion Price shall be adjusted to a price determined by multiplying the then-current Conversion Price by a fraction:</w:t>
      </w:r>
    </w:p>
    <w:p>
      <w:pPr>
        <w:spacing w:after="0" w:line="120" w:lineRule="auto"/>
      </w:pPr>
    </w:p>
    <w:p>
      <w:r>
        <w:t xml:space="preserve">(i) the numerator of which is the number of shares outstanding immediately prior to the issuance plus the number of shares which the aggregate consideration received by the Company for such issuance would purchase at the then-current Conversion Price; and</w:t>
      </w:r>
    </w:p>
    <w:p>
      <w:pPr>
        <w:spacing w:after="0" w:line="120" w:lineRule="auto"/>
      </w:pPr>
    </w:p>
    <w:p>
      <w:r>
        <w:t xml:space="preserve">(ii) the denominator of which is the number of shares outstanding immediately prior to the issuance plus the number of shares actually issued.</w:t>
      </w:r>
    </w:p>
    <w:p>
      <w:pPr>
        <w:spacing w:after="0" w:line="120" w:lineRule="auto"/>
      </w:pPr>
    </w:p>
    <w:p>
      <w:r>
        <w:rPr>
          <w:b/>
        </w:rPr>
        <w:t xml:space="preserve">(b) Exempted Issuances.</w:t>
      </w:r>
      <w:r>
        <w:t xml:space="preserve"> For purposes of Section 3(a), "Exempted Issuances" means (i) shares issued to employees, consultants, officers, or directors pursuant to equity compensation plans approved by the Board, (ii) shares issued upon conversion of this Safe, (iii) shares issued in connection with strategic partnerships approved by the Board, and (iv) shares issued upon exercise of warrants outstanding as of the date of this Safe.</w:t>
      </w:r>
    </w:p>
    <w:p>
      <w:pPr>
        <w:spacing w:after="0" w:line="120" w:lineRule="auto"/>
      </w:pPr>
    </w:p>
    <w:p>
      <w:r>
        <w:rPr>
          <w:b/>
        </w:rPr>
        <w:t xml:space="preserve">(c) No Floor.</w:t>
      </w:r>
      <w:r>
        <w:t xml:space="preserve"> The anti-dilution adjustment under this Section 3 has no floor price, and may reduce the Conversion Price below the original Safe Price.</w:t>
      </w:r>
    </w:p>
    <w:p>
      <w:pPr>
        <w:spacing w:after="0" w:line="120" w:lineRule="auto"/>
      </w:pPr>
    </w:p>
    <w:p>
      <w:pPr>
        <w:pStyle w:val="Heading3"/>
      </w:pPr>
      <w:r>
        <w:t xml:space="preserve">4. Pro-Rata Rights</w:t>
      </w:r>
    </w:p>
    <w:p>
      <w:pPr>
        <w:spacing w:after="0" w:line="120" w:lineRule="auto"/>
      </w:pPr>
    </w:p>
    <w:p>
      <w:r>
        <w:rPr>
          <w:b/>
        </w:rPr>
        <w:t xml:space="preserve">(a) Right to Participate.</w:t>
      </w:r>
      <w:r>
        <w:t xml:space="preserve"> Subject to the terms and conditions specified in this Section 4, the Investor shall have the right to purchase its Pro-Rata Share (as defined below) of any New Securities (as defined below) that the Company may, from time to time, propose to sell and issue.</w:t>
      </w:r>
    </w:p>
    <w:p>
      <w:pPr>
        <w:spacing w:after="0" w:line="120" w:lineRule="auto"/>
      </w:pPr>
    </w:p>
    <w:p>
      <w:r>
        <w:rPr>
          <w:b/>
        </w:rPr>
        <w:t xml:space="preserve">(b) "Pro-Rata Share"</w:t>
      </w:r>
      <w:r>
        <w:t xml:space="preserve"> means the ratio of (x) the number of shares of Common Stock of the Company owned by the Investor (on an as-converted basis, assuming full conversion of this Safe) to (y) the total number of shares of Common Stock outstanding (on a fully diluted basis) immediately prior to the issuance of New Securities.</w:t>
      </w:r>
    </w:p>
    <w:p>
      <w:pPr>
        <w:spacing w:after="0" w:line="120" w:lineRule="auto"/>
      </w:pPr>
    </w:p>
    <w:p>
      <w:r>
        <w:rPr>
          <w:b/>
        </w:rPr>
        <w:t xml:space="preserve">(c) "New Securities"</w:t>
      </w:r>
      <w:r>
        <w:t xml:space="preserve"> means any equity securities of the Company, whether now authorized or not, and rights, options, or warrants to purchase such equity securities, and securities convertible into or exchangeable for such equity securities, excluding (i) shares issuable upon conversion of the Safe, (ii) shares issued to employees and consultants pursuant to plans approved by the Board, (iii) shares issued in connection with a bona fide acquisition, and (iv) shares issued in an Initial Public Offering.</w:t>
      </w:r>
    </w:p>
    <w:p>
      <w:pPr>
        <w:spacing w:after="0" w:line="120" w:lineRule="auto"/>
      </w:pPr>
    </w:p>
    <w:p>
      <w:r>
        <w:rPr>
          <w:b/>
        </w:rPr>
        <w:t xml:space="preserve">(d) Notice and Exercise.</w:t>
      </w:r>
      <w:r>
        <w:t xml:space="preserve"> The Company shall give the Investor written notice of its proposal to issue New Securities at least fifteen (15) business days prior to the proposed issuance date. The Investor shall have ten (10) business days from receipt of such notice to exercise its pro-rata right by delivering written notice of exercise and payment of the aggregate purchase price.</w:t>
      </w:r>
    </w:p>
    <w:p>
      <w:pPr>
        <w:spacing w:after="0" w:line="120" w:lineRule="auto"/>
      </w:pPr>
    </w:p>
    <w:p>
      <w:r>
        <w:rPr>
          <w:b/>
        </w:rPr>
        <w:t xml:space="preserve">(e) Duration.</w:t>
      </w:r>
      <w:r>
        <w:t xml:space="preserve"> The pro-rata rights under this Section 4 shall terminate upon the earlier of (i) an Initial Public Offering or (ii) five (5) years from the date of this Safe.</w:t>
      </w:r>
    </w:p>
    <w:p>
      <w:pPr>
        <w:spacing w:after="0" w:line="120" w:lineRule="auto"/>
      </w:pPr>
    </w:p>
    <w:p>
      <w:pPr>
        <w:pStyle w:val="Heading3"/>
      </w:pPr>
      <w:r>
        <w:t xml:space="preserve">5. Company Representations</w:t>
      </w:r>
    </w:p>
    <w:p>
      <w:pPr>
        <w:spacing w:after="0" w:line="120" w:lineRule="auto"/>
      </w:pPr>
    </w:p>
    <w:p>
      <w:r>
        <w:rPr>
          <w:b/>
        </w:rPr>
        <w:t xml:space="preserve">(a)</w:t>
      </w:r>
      <w:r>
        <w:t xml:space="preserve"> The Company is a corporation duly organized, validly existing, and in good standing under the laws of the State of Delaware.</w:t>
      </w:r>
    </w:p>
    <w:p>
      <w:pPr>
        <w:spacing w:after="0" w:line="120" w:lineRule="auto"/>
      </w:pPr>
    </w:p>
    <w:p>
      <w:r>
        <w:rPr>
          <w:b/>
        </w:rPr>
        <w:t xml:space="preserve">(b)</w:t>
      </w:r>
      <w:r>
        <w:t xml:space="preserve"> The execution, delivery and performance by the Company of this Safe is within the power of the Company and has been duly authorized by all necessary actions on the part of the Company.</w:t>
      </w:r>
    </w:p>
    <w:p>
      <w:pPr>
        <w:spacing w:after="0" w:line="120" w:lineRule="auto"/>
      </w:pPr>
    </w:p>
    <w:p>
      <w:r>
        <w:rPr>
          <w:b/>
        </w:rPr>
        <w:t xml:space="preserve">(c)</w:t>
      </w:r>
      <w:r>
        <w:t xml:space="preserve"> As of the date hereof, the authorized capital stock of the Company consists of 10,000,000 shares of Common Stock, of which 6,500,000 are issued and outstanding, and 2,000,000 shares of Preferred Stock, none of which are issued and outstanding.</w:t>
      </w:r>
    </w:p>
    <w:p>
      <w:pPr>
        <w:spacing w:after="0" w:line="120" w:lineRule="auto"/>
      </w:pPr>
    </w:p>
    <w:p>
      <w:pPr>
        <w:pStyle w:val="Heading3"/>
      </w:pPr>
      <w:r>
        <w:t xml:space="preserve">6. Investor Representations</w:t>
      </w:r>
    </w:p>
    <w:p>
      <w:pPr>
        <w:spacing w:after="0" w:line="120" w:lineRule="auto"/>
      </w:pPr>
    </w:p>
    <w:p>
      <w:r>
        <w:rPr>
          <w:b/>
        </w:rPr>
        <w:t xml:space="preserve">(a)</w:t>
      </w:r>
      <w:r>
        <w:t xml:space="preserve"> The Investor has full legal capacity, power and authority to execute and deliver this Safe.</w:t>
      </w:r>
    </w:p>
    <w:p>
      <w:pPr>
        <w:spacing w:after="0" w:line="120" w:lineRule="auto"/>
      </w:pPr>
    </w:p>
    <w:p>
      <w:r>
        <w:rPr>
          <w:b/>
        </w:rPr>
        <w:t xml:space="preserve">(b)</w:t>
      </w:r>
      <w:r>
        <w:t xml:space="preserve"> The Investor is an accredited investor as defined in Rule 501 of Regulation D under the Securities Act.</w:t>
      </w:r>
    </w:p>
    <w:p>
      <w:pPr>
        <w:spacing w:after="0" w:line="120" w:lineRule="auto"/>
      </w:pPr>
    </w:p>
    <w:p>
      <w:r>
        <w:rPr>
          <w:b/>
        </w:rPr>
        <w:t xml:space="preserve">(c)</w:t>
      </w:r>
      <w:r>
        <w:t xml:space="preserve"> The Investor is purchasing this Safe for the Investor's own account for investment, not as a nominee or agent.</w:t>
      </w:r>
    </w:p>
    <w:p>
      <w:pPr>
        <w:spacing w:after="0" w:line="120" w:lineRule="auto"/>
      </w:pPr>
    </w:p>
    <w:p>
      <w:pPr>
        <w:pStyle w:val="Heading3"/>
      </w:pPr>
      <w:r>
        <w:t xml:space="preserve">7. Miscellaneous</w:t>
      </w:r>
    </w:p>
    <w:p>
      <w:pPr>
        <w:spacing w:after="0" w:line="120" w:lineRule="auto"/>
      </w:pPr>
    </w:p>
    <w:p>
      <w:r>
        <w:rPr>
          <w:b/>
        </w:rPr>
        <w:t xml:space="preserve">(a) Amendment.</w:t>
      </w:r>
      <w:r>
        <w:t xml:space="preserve"> Any provision of this Safe may be amended, waived or modified by written consent of the Company and the Investor. For the avoidance of doubt, the anti-dilution provisions and pro-rata rights set forth in Sections 3 and 4 may only be amended with the Investor's express written consent.</w:t>
      </w:r>
    </w:p>
    <w:p>
      <w:pPr>
        <w:spacing w:after="0" w:line="120" w:lineRule="auto"/>
      </w:pPr>
    </w:p>
    <w:p>
      <w:r>
        <w:rPr>
          <w:b/>
        </w:rPr>
        <w:t xml:space="preserve">(b) Governing Law.</w:t>
      </w:r>
      <w:r>
        <w:t xml:space="preserve"> This Safe shall be governed by and construed in accordance with the laws of the State of Delaware.</w:t>
      </w:r>
    </w:p>
    <w:p>
      <w:pPr>
        <w:spacing w:after="0" w:line="120" w:lineRule="auto"/>
      </w:pPr>
    </w:p>
    <w:p>
      <w:r>
        <w:rPr>
          <w:b/>
        </w:rPr>
        <w:t xml:space="preserve">(c) Assignment.</w:t>
      </w:r>
      <w:r>
        <w:t xml:space="preserve"> Neither this Safe nor the rights contained herein may be assigned by either party without the prior written consent of the other.</w:t>
      </w:r>
    </w:p>
    <w:p>
      <w:pPr>
        <w:spacing w:after="0" w:line="120" w:lineRule="auto"/>
      </w:pPr>
    </w:p>
    <w:p>
      <w:r>
        <w:rPr>
          <w:b/>
        </w:rPr>
        <w:t xml:space="preserve">(d) Entire Agreement.</w:t>
      </w:r>
      <w:r>
        <w:t xml:space="preserve"> This Safe constitutes the full and entire understanding and agreement between the parties.</w:t>
      </w:r>
    </w:p>
    <w:p>
      <w:pPr>
        <w:spacing w:after="0" w:line="120" w:lineRule="auto"/>
      </w:pPr>
    </w:p>
    <w:p>
      <w:pPr>
        <w:pStyle w:val="HorizontalRule"/>
      </w:pPr>
    </w:p>
    <w:p>
      <w:pPr>
        <w:spacing w:after="0" w:line="120" w:lineRule="auto"/>
      </w:pPr>
    </w:p>
    <w:p>
      <w:r>
        <w:rPr>
          <w:b/>
        </w:rPr>
        <w:t xml:space="preserve">IN WITNESS WHEREOF,</w:t>
      </w:r>
      <w:r>
        <w:t xml:space="preserve"> the undersigned have caused this Safe to be duly executed and delivered.</w:t>
      </w:r>
    </w:p>
    <w:p>
      <w:pPr>
        <w:spacing w:after="0" w:line="120" w:lineRule="auto"/>
      </w:pPr>
    </w:p>
    <w:p>
      <w:r>
        <w:rPr>
          <w:b/>
        </w:rPr>
        <w:t xml:space="preserve">COMPANY:</w:t>
      </w:r>
    </w:p>
    <w:p>
      <w:r>
        <w:t xml:space="preserve">NovaByte Inc.</w:t>
      </w:r>
    </w:p>
    <w:p>
      <w:r>
        <w:t xml:space="preserve">By: /s/ Ryan Okonkwo</w:t>
      </w:r>
    </w:p>
    <w:p>
      <w:r>
        <w:t xml:space="preserve">Name: Ryan Okonkwo</w:t>
      </w:r>
    </w:p>
    <w:p>
      <w:r>
        <w:t xml:space="preserve">Title: Chief Executive Officer</w:t>
      </w:r>
    </w:p>
    <w:p>
      <w:pPr>
        <w:spacing w:after="0" w:line="120" w:lineRule="auto"/>
      </w:pPr>
    </w:p>
    <w:p>
      <w:r>
        <w:rPr>
          <w:b/>
        </w:rPr>
        <w:t xml:space="preserve">INVESTOR:</w:t>
      </w:r>
    </w:p>
    <w:p>
      <w:r>
        <w:t xml:space="preserve">Code Capital Partners</w:t>
      </w:r>
    </w:p>
    <w:p>
      <w:r>
        <w:t xml:space="preserve">By: /s/ Lisa Huang</w:t>
      </w:r>
    </w:p>
    <w:p>
      <w:r>
        <w:t xml:space="preserve">Name: Lisa Huang</w:t>
      </w:r>
    </w:p>
    <w:p>
      <w:r>
        <w:t xml:space="preserve">Title: Managing Director</w:t>
      </w:r>
    </w:p>
    <w:p>
      <w:pPr>
        <w:spacing w:after="0" w:line="120" w:lineRule="auto"/>
      </w:pPr>
    </w:p>
    <w:p>
      <w:r>
        <w:t xml:space="preserve">Purchase Amount received: $500,000.00</w:t>
      </w:r>
    </w:p>
    <w:p>
      <w:pPr>
        <w:spacing w:after="0" w:line="120" w:lineRule="auto"/>
      </w:pPr>
    </w:p>
    <w:sectPr>
      <w:pgSz w:w="12240" w:h="15840"/>
      <w:pgMar w:top="1440" w:right="1440" w:bottom="1440" w:left="144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20" w:line="276" w:lineRule="auto"/>
      </w:pPr>
    </w:pPrDefault>
  </w:docDefaults>
  <w:style w:type="paragraph" w:styleId="Normal">
    <w:name w:val="Normal"/>
    <w:qFormat/>
  </w:style>
  <w:style w:type="paragraph" w:styleId="Heading1">
    <w:name w:val="heading 1"/>
    <w:qFormat/>
    <w:pPr>
      <w:spacing w:before="360" w:after="120"/>
    </w:pPr>
    <w:rPr>
      <w:rFonts w:ascii="Calibri" w:hAnsi="Calibri"/>
      <w:b/>
      <w:color w:val="1F3864"/>
      <w:sz w:val="36"/>
      <w:szCs w:val="36"/>
    </w:rPr>
  </w:style>
  <w:style w:type="paragraph" w:styleId="Heading2">
    <w:name w:val="heading 2"/>
    <w:qFormat/>
    <w:pPr>
      <w:spacing w:before="240" w:after="80"/>
    </w:pPr>
    <w:rPr>
      <w:rFonts w:ascii="Calibri" w:hAnsi="Calibri"/>
      <w:b/>
      <w:color w:val="2E75B6"/>
      <w:sz w:val="28"/>
      <w:szCs w:val="28"/>
    </w:rPr>
  </w:style>
  <w:style w:type="paragraph" w:styleId="Heading3">
    <w:name w:val="heading 3"/>
    <w:qFormat/>
    <w:pPr>
      <w:spacing w:before="200" w:after="60"/>
    </w:pPr>
    <w:rPr>
      <w:rFonts w:ascii="Calibri" w:hAnsi="Calibri"/>
      <w:b/>
      <w:color w:val="404040"/>
      <w:sz w:val="24"/>
      <w:szCs w:val="24"/>
    </w:rPr>
  </w:style>
  <w:style w:type="paragraph" w:styleId="ListBullet">
    <w:name w:val="List Bullet"/>
    <w:pPr>
      <w:ind w:left="720" w:hanging="360"/>
      <w:spacing w:after="60"/>
    </w:pPr>
  </w:style>
  <w:style w:type="paragraph" w:styleId="HorizontalRule">
    <w:name w:val="Horizontal Rule"/>
    <w:pPr>
      <w:pBdr>
        <w:bottom w:val="single" w:sz="6" w:space="1" w:color="CCCCCC"/>
      </w:pBdr>
      <w:spacing w:before="120" w:after="120"/>
    </w:pPr>
    <w:rPr>
      <w:sz w:val="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