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 xml:space="preserve">SAFE (Simple Agreement for Future Equity)</w:t>
      </w:r>
    </w:p>
    <w:p>
      <w:pPr>
        <w:spacing w:after="0" w:line="120" w:lineRule="auto"/>
      </w:pPr>
    </w:p>
    <w:p>
      <w:pPr>
        <w:pStyle w:val="Heading2"/>
      </w:pPr>
      <w:r>
        <w:t xml:space="preserve">PayLoop, Inc.</w:t>
      </w:r>
    </w:p>
    <w:p>
      <w:pPr>
        <w:spacing w:after="0" w:line="120" w:lineRule="auto"/>
      </w:pPr>
    </w:p>
    <w:p>
      <w:r>
        <w:rPr>
          <w:b/>
        </w:rPr>
        <w:t xml:space="preserve">Date:</w:t>
      </w:r>
      <w:r>
        <w:t xml:space="preserve"> November 15, 2025</w:t>
      </w:r>
    </w:p>
    <w:p>
      <w:pPr>
        <w:spacing w:after="0" w:line="120" w:lineRule="auto"/>
      </w:pPr>
    </w:p>
    <w:p>
      <w:pPr>
        <w:pStyle w:val="HorizontalRule"/>
      </w:pPr>
    </w:p>
    <w:p>
      <w:pPr>
        <w:spacing w:after="0" w:line="120" w:lineRule="auto"/>
      </w:pPr>
    </w:p>
    <w:p>
      <w:r>
        <w:t xml:space="preserve">THIS CERTIFIES THAT in exchange for the payment by Santiago Ventures LLC (the "Investor") of $750,000.00 (the "Purchase Amount") on or about November 15, 2025, PayLoop, Inc., a Delaware corporation (the "Company"), hereby issues to the Investor the right to certain shares of the Company's capital stock, subject to the terms set forth below.</w:t>
      </w:r>
    </w:p>
    <w:p>
      <w:pPr>
        <w:spacing w:after="0" w:line="120" w:lineRule="auto"/>
      </w:pPr>
    </w:p>
    <w:p>
      <w:r>
        <w:t xml:space="preserve">This Safe is one of the forms available at http://ycombinator.com/documents and the Company and the Investor agree that neither one has modified the form, except to fill in blanks and bracketed terms.</w:t>
      </w:r>
    </w:p>
    <w:p>
      <w:pPr>
        <w:spacing w:after="0" w:line="120" w:lineRule="auto"/>
      </w:pPr>
    </w:p>
    <w:p>
      <w:pPr>
        <w:pStyle w:val="HorizontalRule"/>
      </w:pPr>
    </w:p>
    <w:p>
      <w:pPr>
        <w:spacing w:after="0" w:line="120" w:lineRule="auto"/>
      </w:pPr>
    </w:p>
    <w:p>
      <w:pPr>
        <w:pStyle w:val="Heading3"/>
      </w:pPr>
      <w:r>
        <w:t xml:space="preserve">1. Events</w:t>
      </w:r>
    </w:p>
    <w:p>
      <w:pPr>
        <w:spacing w:after="0" w:line="120" w:lineRule="auto"/>
      </w:pPr>
    </w:p>
    <w:p>
      <w:r>
        <w:rPr>
          <w:b/>
        </w:rPr>
        <w:t xml:space="preserve">(a) Equity Financing.</w:t>
      </w:r>
      <w:r>
        <w:t xml:space="preserve"> If there is an Equity Financing before the termination of this Safe, on the initial closing of such Equity Financing, this Safe will automatically convert into the number of shares of Safe Preferred Stock equal to the Purchase Amount divided by the Conversion Price.</w:t>
      </w:r>
    </w:p>
    <w:p>
      <w:pPr>
        <w:spacing w:after="0" w:line="120" w:lineRule="auto"/>
      </w:pPr>
    </w:p>
    <w:p>
      <w:r>
        <w:t xml:space="preserve">In connection with the automatic conversion of this Safe into shares of Safe Preferred Stock, the Investor will execute and deliver to the Company all of the transaction documents related to the Equity Financing; provided, that such documents (i) are the same documents to be entered into with the purchasers of Standard Preferred Stock, with appropriate variations for the Safe Preferred Stock if applicable, and (ii) have customary exceptions to any drag-along applicable to the Investor, including, without limitation, parsing out liability across investors and limiting representations and warranties of the Investor to those related to its authority, good standing and title to the securities being transferred.</w:t>
      </w:r>
    </w:p>
    <w:p>
      <w:pPr>
        <w:spacing w:after="0" w:line="120" w:lineRule="auto"/>
      </w:pPr>
    </w:p>
    <w:p>
      <w:r>
        <w:rPr>
          <w:b/>
        </w:rPr>
        <w:t xml:space="preserve">(b) Liquidity Event.</w:t>
      </w:r>
      <w:r>
        <w:t xml:space="preserve"> If there is a Liquidity Event before the termination of this Safe, this Safe will automatically be entitled (subject to the liquidation priority set forth in Section 1(d) below) to receive a portion of Proceeds, due and payable to the Investor immediately prior to, or concurrent with, the consummation of such Liquidity Event, equal to the greater of (i) the Purchase Amount or (ii) the amount payable at the Liquidity Event as if the Safe had been converted into Common Stock at the Liquidity Event Conversion Price.</w:t>
      </w:r>
    </w:p>
    <w:p>
      <w:pPr>
        <w:spacing w:after="0" w:line="120" w:lineRule="auto"/>
      </w:pPr>
    </w:p>
    <w:p>
      <w:r>
        <w:rPr>
          <w:b/>
        </w:rPr>
        <w:t xml:space="preserve">(c) Dissolution Event.</w:t>
      </w:r>
      <w:r>
        <w:t xml:space="preserve"> If there is a Dissolution Event before the termination of this Safe, the Company will pay an amount equal to the Purchase Amount, due and payable to the Investor immediately prior to the consummation of the Dissolution Event, subject to the rights and preferences of the holders of the Company's outstanding Preferred Stock, if any. The Purchase Amount will be paid to the Investor prior to any distribution of any of the assets of the Company to holders of the Company's Common Stock by reason of their ownership thereof. If immediately prior to the consummation of the Dissolution Event, the assets of the Company legally available for distribution to the Investor and all holders of all other Safes (the "Cash-Out Amount") are insufficient to permit the payment in full of the Purchase Amount and all other Cash-Out Amounts, then the entire Cash-Out Amount will be distributed to the Investor and holders of other Safes in proportion to the Purchase Amounts and all other Cash-Out Amounts.</w:t>
      </w:r>
    </w:p>
    <w:p>
      <w:pPr>
        <w:spacing w:after="0" w:line="120" w:lineRule="auto"/>
      </w:pPr>
    </w:p>
    <w:p>
      <w:r>
        <w:rPr>
          <w:b/>
        </w:rPr>
        <w:t xml:space="preserve">(d) Liquidation Priority.</w:t>
      </w:r>
      <w:r>
        <w:t xml:space="preserve"> In a Liquidity Event or Dissolution Event, this Safe is intended to operate like standard non-participating Preferred Stock. The Investor's right to receive its Purchase Amount is:</w:t>
      </w:r>
    </w:p>
    <w:p>
      <w:pPr>
        <w:spacing w:after="0" w:line="120" w:lineRule="auto"/>
      </w:pPr>
    </w:p>
    <w:p>
      <w:r>
        <w:t xml:space="preserve">(i) Junior to payment of outstanding indebtedness and creditor claims, including contractual claims of the Company's employees;</w:t>
      </w:r>
    </w:p>
    <w:p>
      <w:pPr>
        <w:spacing w:after="0" w:line="120" w:lineRule="auto"/>
      </w:pPr>
    </w:p>
    <w:p>
      <w:r>
        <w:t xml:space="preserve">(ii) On par with payments for other Safes and/or Preferred Stock;</w:t>
      </w:r>
    </w:p>
    <w:p>
      <w:pPr>
        <w:spacing w:after="0" w:line="120" w:lineRule="auto"/>
      </w:pPr>
    </w:p>
    <w:p>
      <w:r>
        <w:t xml:space="preserve">(iii) Senior to payments for Common Stock.</w:t>
      </w:r>
    </w:p>
    <w:p>
      <w:pPr>
        <w:spacing w:after="0" w:line="120" w:lineRule="auto"/>
      </w:pPr>
    </w:p>
    <w:p>
      <w:pPr>
        <w:pStyle w:val="Heading3"/>
      </w:pPr>
      <w:r>
        <w:t xml:space="preserve">2. Definitions</w:t>
      </w:r>
    </w:p>
    <w:p>
      <w:pPr>
        <w:spacing w:after="0" w:line="120" w:lineRule="auto"/>
      </w:pPr>
    </w:p>
    <w:p>
      <w:r>
        <w:rPr>
          <w:b/>
        </w:rPr>
        <w:t xml:space="preserve">"Conversion Price"</w:t>
      </w:r>
      <w:r>
        <w:t xml:space="preserve"> means either: (1) the Safe Price, or (2) the Discount Price, whichever calculation produces a greater number of shares of Safe Preferred Stock.</w:t>
      </w:r>
    </w:p>
    <w:p>
      <w:pPr>
        <w:spacing w:after="0" w:line="120" w:lineRule="auto"/>
      </w:pPr>
    </w:p>
    <w:p>
      <w:r>
        <w:rPr>
          <w:b/>
        </w:rPr>
        <w:t xml:space="preserve">"Discount Price"</w:t>
      </w:r>
      <w:r>
        <w:t xml:space="preserve"> means the price per share of the Standard Preferred Stock sold in the Equity Financing multiplied by the Discount Rate. [Not applicable — this Safe does not include a Discount Rate.]</w:t>
      </w:r>
    </w:p>
    <w:p>
      <w:pPr>
        <w:spacing w:after="0" w:line="120" w:lineRule="auto"/>
      </w:pPr>
    </w:p>
    <w:p>
      <w:r>
        <w:rPr>
          <w:b/>
        </w:rPr>
        <w:t xml:space="preserve">"Equity Financing"</w:t>
      </w:r>
      <w:r>
        <w:t xml:space="preserve"> means a bona fide transaction or series of transactions with the principal purpose of raising capital, pursuant to which the Company issues and sells Preferred Stock at a fixed pre-money valuation.</w:t>
      </w:r>
    </w:p>
    <w:p>
      <w:pPr>
        <w:spacing w:after="0" w:line="120" w:lineRule="auto"/>
      </w:pPr>
    </w:p>
    <w:p>
      <w:r>
        <w:rPr>
          <w:b/>
        </w:rPr>
        <w:t xml:space="preserve">"Liquidity Event"</w:t>
      </w:r>
      <w:r>
        <w:t xml:space="preserve"> means a Change of Control or an Initial Public Offering.</w:t>
      </w:r>
    </w:p>
    <w:p>
      <w:pPr>
        <w:spacing w:after="0" w:line="120" w:lineRule="auto"/>
      </w:pPr>
    </w:p>
    <w:p>
      <w:r>
        <w:rPr>
          <w:b/>
        </w:rPr>
        <w:t xml:space="preserve">"Liquidity Event Conversion Price"</w:t>
      </w:r>
      <w:r>
        <w:t xml:space="preserve"> means the price per share equal to the Post-Money Valuation Cap divided by the Liquidity Capitalization.</w:t>
      </w:r>
    </w:p>
    <w:p>
      <w:pPr>
        <w:spacing w:after="0" w:line="120" w:lineRule="auto"/>
      </w:pPr>
    </w:p>
    <w:p>
      <w:r>
        <w:rPr>
          <w:b/>
        </w:rPr>
        <w:t xml:space="preserve">"Post-Money Valuation Cap"</w:t>
      </w:r>
      <w:r>
        <w:t xml:space="preserve"> means $20,000,000.</w:t>
      </w:r>
    </w:p>
    <w:p>
      <w:pPr>
        <w:spacing w:after="0" w:line="120" w:lineRule="auto"/>
      </w:pPr>
    </w:p>
    <w:p>
      <w:r>
        <w:rPr>
          <w:b/>
        </w:rPr>
        <w:t xml:space="preserve">"Safe Preferred Stock"</w:t>
      </w:r>
      <w:r>
        <w:t xml:space="preserve"> means the shares of a series of Preferred Stock issued to the Investor in an Equity Financing, having the identical rights, privileges, preferences and restrictions as the shares of Standard Preferred Stock, other than with respect to: (i) the per share liquidation preference, which shall equal the Conversion Price; and (ii) the conversion price for purposes of price-based anti-dilution protection, which shall be the Conversion Price.</w:t>
      </w:r>
    </w:p>
    <w:p>
      <w:pPr>
        <w:spacing w:after="0" w:line="120" w:lineRule="auto"/>
      </w:pPr>
    </w:p>
    <w:p>
      <w:r>
        <w:rPr>
          <w:b/>
        </w:rPr>
        <w:t xml:space="preserve">"Safe Price"</w:t>
      </w:r>
      <w:r>
        <w:t xml:space="preserve"> means the price per share equal to the Post-Money Valuation Cap divided by the Company Capitalization.</w:t>
      </w:r>
    </w:p>
    <w:p>
      <w:pPr>
        <w:spacing w:after="0" w:line="120" w:lineRule="auto"/>
      </w:pPr>
    </w:p>
    <w:p>
      <w:pPr>
        <w:pStyle w:val="Heading3"/>
      </w:pPr>
      <w:r>
        <w:t xml:space="preserve">3. Company Representations</w:t>
      </w:r>
    </w:p>
    <w:p>
      <w:pPr>
        <w:spacing w:after="0" w:line="120" w:lineRule="auto"/>
      </w:pPr>
    </w:p>
    <w:p>
      <w:r>
        <w:rPr>
          <w:b/>
        </w:rPr>
        <w:t xml:space="preserve">(a)</w:t>
      </w:r>
      <w:r>
        <w:t xml:space="preserve"> The Company is a corporation duly organized, validly existing, and in good standing under the laws of the State of Delaware, and has the power and authority to own, lease and operate its properties and carry on its business as now conducted.</w:t>
      </w:r>
    </w:p>
    <w:p>
      <w:pPr>
        <w:spacing w:after="0" w:line="120" w:lineRule="auto"/>
      </w:pPr>
    </w:p>
    <w:p>
      <w:r>
        <w:rPr>
          <w:b/>
        </w:rPr>
        <w:t xml:space="preserve">(b)</w:t>
      </w:r>
      <w:r>
        <w:t xml:space="preserve"> The execution, delivery and performance by the Company of this Safe is within the power of the Company and has been duly authorized by all necessary actions on the part of the Company. This Safe constitutes a legal, valid and binding obligation of the Company.</w:t>
      </w:r>
    </w:p>
    <w:p>
      <w:pPr>
        <w:spacing w:after="0" w:line="120" w:lineRule="auto"/>
      </w:pPr>
    </w:p>
    <w:p>
      <w:r>
        <w:rPr>
          <w:b/>
        </w:rPr>
        <w:t xml:space="preserve">(c)</w:t>
      </w:r>
      <w:r>
        <w:t xml:space="preserve"> The performance and compliance with the terms and provisions of this Safe by the Company does not and will not (i) violate any material judgment, order, writ, decree or rule of any court or governmental agency, (ii) conflict with or result in the breach or default of any material contract, instrument, agreement or obligation to which the Company is a party, or (iii) violate any provision of the Company's Certificate of Incorporation or Bylaws.</w:t>
      </w:r>
    </w:p>
    <w:p>
      <w:pPr>
        <w:spacing w:after="0" w:line="120" w:lineRule="auto"/>
      </w:pPr>
    </w:p>
    <w:p>
      <w:pPr>
        <w:pStyle w:val="Heading3"/>
      </w:pPr>
      <w:r>
        <w:t xml:space="preserve">4. Investor Representations</w:t>
      </w:r>
    </w:p>
    <w:p>
      <w:pPr>
        <w:spacing w:after="0" w:line="120" w:lineRule="auto"/>
      </w:pPr>
    </w:p>
    <w:p>
      <w:r>
        <w:rPr>
          <w:b/>
        </w:rPr>
        <w:t xml:space="preserve">(a)</w:t>
      </w:r>
      <w:r>
        <w:t xml:space="preserve"> The Investor has full legal capacity, power and authority to execute and deliver this Safe and to perform its obligations hereunder.</w:t>
      </w:r>
    </w:p>
    <w:p>
      <w:pPr>
        <w:spacing w:after="0" w:line="120" w:lineRule="auto"/>
      </w:pPr>
    </w:p>
    <w:p>
      <w:r>
        <w:rPr>
          <w:b/>
        </w:rPr>
        <w:t xml:space="preserve">(b)</w:t>
      </w:r>
      <w:r>
        <w:t xml:space="preserve"> The Investor is an accredited investor as such term is defined in Rule 501 of Regulation D under the Securities Act, and acknowledges that the securities are being offered and sold without registration under the Securities Act of 1933, as amended (the "Securities Act"), and, therefore, cannot be resold unless they are registered or a valid exemption from registration exists.</w:t>
      </w:r>
    </w:p>
    <w:p>
      <w:pPr>
        <w:spacing w:after="0" w:line="120" w:lineRule="auto"/>
      </w:pPr>
    </w:p>
    <w:p>
      <w:r>
        <w:rPr>
          <w:b/>
        </w:rPr>
        <w:t xml:space="preserve">(c)</w:t>
      </w:r>
      <w:r>
        <w:t xml:space="preserve"> The Investor is purchasing this Safe for the Investor's own account for investment, not as a nominee or agent, and not with a view to, or for resale in connection with, the distribution thereof.</w:t>
      </w:r>
    </w:p>
    <w:p>
      <w:pPr>
        <w:spacing w:after="0" w:line="120" w:lineRule="auto"/>
      </w:pPr>
    </w:p>
    <w:p>
      <w:pPr>
        <w:pStyle w:val="Heading3"/>
      </w:pPr>
      <w:r>
        <w:t xml:space="preserve">5. Miscellaneous</w:t>
      </w:r>
    </w:p>
    <w:p>
      <w:pPr>
        <w:spacing w:after="0" w:line="120" w:lineRule="auto"/>
      </w:pPr>
    </w:p>
    <w:p>
      <w:r>
        <w:rPr>
          <w:b/>
        </w:rPr>
        <w:t xml:space="preserve">(a) Amendment.</w:t>
      </w:r>
      <w:r>
        <w:t xml:space="preserve"> Any provision of this Safe may be amended, waived or modified by written consent of the Company and either (i) the Investor or (ii) the majority-in-interest of all then-outstanding Safes with the same Post-Money Valuation Cap.</w:t>
      </w:r>
    </w:p>
    <w:p>
      <w:pPr>
        <w:spacing w:after="0" w:line="120" w:lineRule="auto"/>
      </w:pPr>
    </w:p>
    <w:p>
      <w:r>
        <w:rPr>
          <w:b/>
        </w:rPr>
        <w:t xml:space="preserve">(b) Governing Law.</w:t>
      </w:r>
      <w:r>
        <w:t xml:space="preserve"> This Safe shall be governed by and construed in accordance with the laws of the State of Delaware, without regard to its conflict of law provisions.</w:t>
      </w:r>
    </w:p>
    <w:p>
      <w:pPr>
        <w:spacing w:after="0" w:line="120" w:lineRule="auto"/>
      </w:pPr>
    </w:p>
    <w:p>
      <w:r>
        <w:rPr>
          <w:b/>
        </w:rPr>
        <w:t xml:space="preserve">(c) Assignment.</w:t>
      </w:r>
      <w:r>
        <w:t xml:space="preserve"> Neither this Safe nor the rights contained herein may be assigned, by operation of law or otherwise, by either party without the prior written consent of the other; provided, however, the Investor may assign this Safe to any affiliate of the Investor without the Company's consent.</w:t>
      </w:r>
    </w:p>
    <w:p>
      <w:pPr>
        <w:spacing w:after="0" w:line="120" w:lineRule="auto"/>
      </w:pPr>
    </w:p>
    <w:p>
      <w:r>
        <w:rPr>
          <w:b/>
        </w:rPr>
        <w:t xml:space="preserve">(d) Entire Agreement.</w:t>
      </w:r>
      <w:r>
        <w:t xml:space="preserve"> This Safe constitutes the full and entire understanding and agreement between the parties with respect to the subject matter hereof.</w:t>
      </w:r>
    </w:p>
    <w:p>
      <w:pPr>
        <w:spacing w:after="0" w:line="120" w:lineRule="auto"/>
      </w:pPr>
    </w:p>
    <w:p>
      <w:pPr>
        <w:pStyle w:val="HorizontalRule"/>
      </w:pPr>
    </w:p>
    <w:p>
      <w:pPr>
        <w:spacing w:after="0" w:line="120" w:lineRule="auto"/>
      </w:pPr>
    </w:p>
    <w:p>
      <w:r>
        <w:rPr>
          <w:b/>
        </w:rPr>
        <w:t xml:space="preserve">IN WITNESS WHEREOF,</w:t>
      </w:r>
      <w:r>
        <w:t xml:space="preserve"> the undersigned have caused this Safe to be duly executed and delivered.</w:t>
      </w:r>
    </w:p>
    <w:p>
      <w:pPr>
        <w:spacing w:after="0" w:line="120" w:lineRule="auto"/>
      </w:pPr>
    </w:p>
    <w:p>
      <w:r>
        <w:rPr>
          <w:b/>
        </w:rPr>
        <w:t xml:space="preserve">COMPANY:</w:t>
      </w:r>
    </w:p>
    <w:p>
      <w:r>
        <w:t xml:space="preserve">PayLoop, Inc.</w:t>
      </w:r>
    </w:p>
    <w:p>
      <w:r>
        <w:t xml:space="preserve">By: /s/ Marcus Chen</w:t>
      </w:r>
    </w:p>
    <w:p>
      <w:r>
        <w:t xml:space="preserve">Name: Marcus Chen</w:t>
      </w:r>
    </w:p>
    <w:p>
      <w:r>
        <w:t xml:space="preserve">Title: Chief Executive Officer</w:t>
      </w:r>
    </w:p>
    <w:p>
      <w:pPr>
        <w:spacing w:after="0" w:line="120" w:lineRule="auto"/>
      </w:pPr>
    </w:p>
    <w:p>
      <w:r>
        <w:rPr>
          <w:b/>
        </w:rPr>
        <w:t xml:space="preserve">INVESTOR:</w:t>
      </w:r>
    </w:p>
    <w:p>
      <w:r>
        <w:t xml:space="preserve">Santiago Ventures LLC</w:t>
      </w:r>
    </w:p>
    <w:p>
      <w:r>
        <w:t xml:space="preserve">By: /s/ Elena Santiago</w:t>
      </w:r>
    </w:p>
    <w:p>
      <w:r>
        <w:t xml:space="preserve">Name: Elena Santiago</w:t>
      </w:r>
    </w:p>
    <w:p>
      <w:r>
        <w:t xml:space="preserve">Title: Managing Partner</w:t>
      </w:r>
    </w:p>
    <w:p>
      <w:pPr>
        <w:spacing w:after="0" w:line="120" w:lineRule="auto"/>
      </w:pPr>
    </w:p>
    <w:p>
      <w:r>
        <w:t xml:space="preserve">Purchase Amount received: $750,000.00</w:t>
      </w:r>
    </w:p>
    <w:p>
      <w:pPr>
        <w:spacing w:after="0" w:line="120" w:lineRule="auto"/>
      </w:pP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20" w:line="276" w:lineRule="auto"/>
      </w:pPr>
    </w:pPrDefault>
  </w:docDefaults>
  <w:style w:type="paragraph" w:styleId="Normal">
    <w:name w:val="Normal"/>
    <w:qFormat/>
  </w:style>
  <w:style w:type="paragraph" w:styleId="Heading1">
    <w:name w:val="heading 1"/>
    <w:qFormat/>
    <w:pPr>
      <w:spacing w:before="360" w:after="120"/>
    </w:pPr>
    <w:rPr>
      <w:rFonts w:ascii="Calibri" w:hAnsi="Calibri"/>
      <w:b/>
      <w:color w:val="1F3864"/>
      <w:sz w:val="36"/>
      <w:szCs w:val="36"/>
    </w:rPr>
  </w:style>
  <w:style w:type="paragraph" w:styleId="Heading2">
    <w:name w:val="heading 2"/>
    <w:qFormat/>
    <w:pPr>
      <w:spacing w:before="240" w:after="80"/>
    </w:pPr>
    <w:rPr>
      <w:rFonts w:ascii="Calibri" w:hAnsi="Calibri"/>
      <w:b/>
      <w:color w:val="2E75B6"/>
      <w:sz w:val="28"/>
      <w:szCs w:val="28"/>
    </w:rPr>
  </w:style>
  <w:style w:type="paragraph" w:styleId="Heading3">
    <w:name w:val="heading 3"/>
    <w:qFormat/>
    <w:pPr>
      <w:spacing w:before="200" w:after="60"/>
    </w:pPr>
    <w:rPr>
      <w:rFonts w:ascii="Calibri" w:hAnsi="Calibri"/>
      <w:b/>
      <w:color w:val="404040"/>
      <w:sz w:val="24"/>
      <w:szCs w:val="24"/>
    </w:rPr>
  </w:style>
  <w:style w:type="paragraph" w:styleId="ListBullet">
    <w:name w:val="List Bullet"/>
    <w:pPr>
      <w:ind w:left="720" w:hanging="360"/>
      <w:spacing w:after="60"/>
    </w:pPr>
  </w:style>
  <w:style w:type="paragraph" w:styleId="HorizontalRule">
    <w:name w:val="Horizontal Rule"/>
    <w:pPr>
      <w:pBdr>
        <w:bottom w:val="single" w:sz="6" w:space="1" w:color="CCCCCC"/>
      </w:pBdr>
      <w:spacing w:before="120" w:after="120"/>
    </w:pPr>
    <w:rPr>
      <w:sz w:val="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