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SkillForge Inc.</w:t>
      </w:r>
    </w:p>
    <w:p>
      <w:pPr>
        <w:spacing w:after="0" w:line="120" w:lineRule="auto"/>
      </w:pPr>
    </w:p>
    <w:p>
      <w:r>
        <w:rPr>
          <w:b/>
        </w:rPr>
        <w:t xml:space="preserve">Date:</w:t>
      </w:r>
      <w:r>
        <w:t xml:space="preserve"> January 8, 2026</w:t>
      </w:r>
    </w:p>
    <w:p>
      <w:pPr>
        <w:spacing w:after="0" w:line="120" w:lineRule="auto"/>
      </w:pPr>
    </w:p>
    <w:p>
      <w:pPr>
        <w:pStyle w:val="HorizontalRule"/>
      </w:pPr>
    </w:p>
    <w:p>
      <w:pPr>
        <w:spacing w:after="0" w:line="120" w:lineRule="auto"/>
      </w:pPr>
    </w:p>
    <w:p>
      <w:r>
        <w:t xml:space="preserve">THIS CERTIFIES THAT in exchange for the payment by Aleph Zero Fund LP (the "Investor") of $1,500,000.00 (the "Purchase Amount") on or about January 8, 2026, SkillForge Inc., a Delaware corporation (the "Company"), hereby issues to the Investor the right to certain shares of the Company's capital stock, subject to the terms set forth below.</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parsing out liability across investors and limiting representations and warranties of the Investor to those related to its authority, good standing and title to the securities being transferred.</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or (ii) the amount payable at the Liquidity Event as if the Safe had been converted into Common Stock at the Liquidity Event Conversion Price.</w:t>
      </w:r>
    </w:p>
    <w:p>
      <w:pPr>
        <w:spacing w:after="0" w:line="120" w:lineRule="auto"/>
      </w:pPr>
    </w:p>
    <w:p>
      <w:r>
        <w:rPr>
          <w:b/>
        </w:rPr>
        <w:t xml:space="preserve">(c) Dissolution Event.</w:t>
      </w:r>
      <w:r>
        <w:t xml:space="preserve"> If there is a Dissolution Event before the termination of this Safe, the Company will pay an amount equal to the Purchase Amount, due and payable to the Investor immediately prior to the consummation of the Dissolution Event, subject to the rights and preferences of the holders of the Company's outstanding Preferred Stock, if any. The Purchase Amount will be paid to the Investor prior to any distribution of any of the assets of the Company to holders of the Company's Common Stock by reason of their ownership thereof.</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is:</w:t>
      </w:r>
    </w:p>
    <w:p>
      <w:pPr>
        <w:spacing w:after="0" w:line="120" w:lineRule="auto"/>
      </w:pPr>
    </w:p>
    <w:p>
      <w:r>
        <w:t xml:space="preserve">(i) Junior to payment of outstanding indebtedness and creditor claims, including contractual claims of the Company's employees;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"Conversion Price"</w:t>
      </w:r>
      <w:r>
        <w:t xml:space="preserve"> means either: (1) the Safe Price, or (2) the Discount Price, whichever calculation produces a greater number of shares of Safe Preferred Stock.</w:t>
      </w:r>
    </w:p>
    <w:p>
      <w:pPr>
        <w:spacing w:after="0" w:line="120" w:lineRule="auto"/>
      </w:pPr>
    </w:p>
    <w:p>
      <w:r>
        <w:rPr>
          <w:b/>
        </w:rPr>
        <w:t xml:space="preserve">"Discount Price"</w:t>
      </w:r>
      <w:r>
        <w:t xml:space="preserve"> means the price per share of the Standard Preferred Stock sold in the Equity Financing multiplied by the Discount Rate.</w:t>
      </w:r>
    </w:p>
    <w:p>
      <w:pPr>
        <w:spacing w:after="0" w:line="120" w:lineRule="auto"/>
      </w:pPr>
    </w:p>
    <w:p>
      <w:r>
        <w:rPr>
          <w:b/>
        </w:rPr>
        <w:t xml:space="preserve">"Discount Rate"</w:t>
      </w:r>
      <w:r>
        <w:t xml:space="preserve"> means 80% (reflecting a 20% discount).</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r>
        <w:rPr>
          <w:b/>
        </w:rPr>
        <w:t xml:space="preserve">"Post-Money Valuation Cap"</w:t>
      </w:r>
      <w:r>
        <w:t xml:space="preserve"> means $15,000,000.</w:t>
      </w:r>
    </w:p>
    <w:p>
      <w:pPr>
        <w:spacing w:after="0" w:line="120" w:lineRule="auto"/>
      </w:pPr>
    </w:p>
    <w:p>
      <w:r>
        <w:rPr>
          <w:b/>
        </w:rPr>
        <w:t xml:space="preserve">"Safe Price"</w:t>
      </w:r>
      <w:r>
        <w:t xml:space="preserve"> means the price per share equal to the Post-Money Valuation Cap divided by the Company Capitalization.</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 and has the power and authority to own, lease and operate its properties and carry on its business as now conducted.</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 This Safe constitutes a legal, valid and binding obligation of the Company.</w:t>
      </w:r>
    </w:p>
    <w:p>
      <w:pPr>
        <w:spacing w:after="0" w:line="120" w:lineRule="auto"/>
      </w:pPr>
    </w:p>
    <w:p>
      <w:r>
        <w:rPr>
          <w:b/>
        </w:rPr>
        <w:t xml:space="preserve">(c)</w:t>
      </w:r>
      <w:r>
        <w:t xml:space="preserve"> The performance and compliance with the terms and provisions of this Safe by the Company does not and will not (i) violate any material judgment, order, writ, decree or rule of any court or governmental agency, (ii) conflict with or result in the breach or default of any material contract, instrument, agreement or obligation to which the Company is a party, or (iii) violate any provision of the Company's Certificate of Incorporation or Bylaws.</w:t>
      </w:r>
    </w:p>
    <w:p>
      <w:pPr>
        <w:spacing w:after="0" w:line="120" w:lineRule="auto"/>
      </w:pPr>
    </w:p>
    <w:p>
      <w:pPr>
        <w:pStyle w:val="Heading3"/>
      </w:pPr>
      <w:r>
        <w:t xml:space="preserve">4. Investor Representations</w:t>
      </w:r>
    </w:p>
    <w:p>
      <w:pPr>
        <w:spacing w:after="0" w:line="120" w:lineRule="auto"/>
      </w:pPr>
    </w:p>
    <w:p>
      <w:r>
        <w:rPr>
          <w:b/>
        </w:rPr>
        <w:t xml:space="preserve">(a)</w:t>
      </w:r>
      <w:r>
        <w:t xml:space="preserve"> The Investor has full legal capacity, power and authority to execute and deliver this Safe and to perform its obligations hereunder.</w:t>
      </w:r>
    </w:p>
    <w:p>
      <w:pPr>
        <w:spacing w:after="0" w:line="120" w:lineRule="auto"/>
      </w:pPr>
    </w:p>
    <w:p>
      <w:r>
        <w:rPr>
          <w:b/>
        </w:rPr>
        <w:t xml:space="preserve">(b)</w:t>
      </w:r>
      <w:r>
        <w:t xml:space="preserve"> The Investor is an accredited investor as such term is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 and not with a view to, or for resale in connection with, the distribution thereof.</w:t>
      </w:r>
    </w:p>
    <w:p>
      <w:pPr>
        <w:spacing w:after="0" w:line="120" w:lineRule="auto"/>
      </w:pPr>
    </w:p>
    <w:p>
      <w:pPr>
        <w:pStyle w:val="Heading3"/>
      </w:pPr>
      <w:r>
        <w:t xml:space="preserve">5. Miscellaneous</w:t>
      </w:r>
    </w:p>
    <w:p>
      <w:pPr>
        <w:spacing w:after="0" w:line="120" w:lineRule="auto"/>
      </w:pPr>
    </w:p>
    <w:p>
      <w:r>
        <w:rPr>
          <w:b/>
        </w:rPr>
        <w:t xml:space="preserve">(a) Amendment.</w:t>
      </w:r>
      <w:r>
        <w:t xml:space="preserve"> Any provision of this Safe may be amended, waived or modified by written consent of the Company and either (i) the Investor or (ii) the majority-in-interest of all then-outstanding Safes with the same Post-Money Valuation Cap and Discount Rate.</w:t>
      </w:r>
    </w:p>
    <w:p>
      <w:pPr>
        <w:spacing w:after="0" w:line="120" w:lineRule="auto"/>
      </w:pPr>
    </w:p>
    <w:p>
      <w:r>
        <w:rPr>
          <w:b/>
        </w:rPr>
        <w:t xml:space="preserve">(b) Governing Law.</w:t>
      </w:r>
      <w:r>
        <w:t xml:space="preserve"> This Safe shall be governed by and construed in accordance with the laws of the State of Delaware.</w:t>
      </w:r>
    </w:p>
    <w:p>
      <w:pPr>
        <w:spacing w:after="0" w:line="120" w:lineRule="auto"/>
      </w:pPr>
    </w:p>
    <w:p>
      <w:r>
        <w:rPr>
          <w:b/>
        </w:rPr>
        <w:t xml:space="preserve">(c) Assignment.</w:t>
      </w:r>
      <w:r>
        <w:t xml:space="preserve"> Neither this Safe nor the rights contained herein may be assigned, by operation of law or otherwise, by either party without the prior written consent of the other.</w:t>
      </w:r>
    </w:p>
    <w:p>
      <w:pPr>
        <w:spacing w:after="0" w:line="120" w:lineRule="auto"/>
      </w:pPr>
    </w:p>
    <w:p>
      <w:r>
        <w:rPr>
          <w:b/>
        </w:rPr>
        <w:t xml:space="preserve">(d) Entire Agreement.</w:t>
      </w:r>
      <w:r>
        <w:t xml:space="preserve"> This Safe, together with the Side Letter dated January 8, 2026 between the Company and the Investor (the "Side Letter"),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SkillForge Inc.</w:t>
      </w:r>
    </w:p>
    <w:p>
      <w:r>
        <w:t xml:space="preserve">By: /s/ Priya Ramanathan</w:t>
      </w:r>
    </w:p>
    <w:p>
      <w:r>
        <w:t xml:space="preserve">Name: Priya Ramanathan</w:t>
      </w:r>
    </w:p>
    <w:p>
      <w:r>
        <w:t xml:space="preserve">Title: Chief Executive Officer</w:t>
      </w:r>
    </w:p>
    <w:p>
      <w:pPr>
        <w:spacing w:after="0" w:line="120" w:lineRule="auto"/>
      </w:pPr>
    </w:p>
    <w:p>
      <w:r>
        <w:rPr>
          <w:b/>
        </w:rPr>
        <w:t xml:space="preserve">INVESTOR:</w:t>
      </w:r>
    </w:p>
    <w:p>
      <w:r>
        <w:t xml:space="preserve">Aleph Zero Fund LP</w:t>
      </w:r>
    </w:p>
    <w:p>
      <w:r>
        <w:t xml:space="preserve">By: /s/ David Kwon</w:t>
      </w:r>
    </w:p>
    <w:p>
      <w:r>
        <w:t xml:space="preserve">Name: David Kwon</w:t>
      </w:r>
    </w:p>
    <w:p>
      <w:r>
        <w:t xml:space="preserve">Title: General Partner</w:t>
      </w:r>
    </w:p>
    <w:p>
      <w:pPr>
        <w:spacing w:after="0" w:line="120" w:lineRule="auto"/>
      </w:pPr>
    </w:p>
    <w:p>
      <w:r>
        <w:t xml:space="preserve">Purchase Amount received: $1,500,000.00</w:t>
      </w:r>
    </w:p>
    <w:p>
      <w:pPr>
        <w:spacing w:after="0" w:line="120" w:lineRule="auto"/>
      </w:pPr>
    </w:p>
    <w:p>
      <w:pPr>
        <w:pStyle w:val="HorizontalRule"/>
      </w:pPr>
    </w:p>
    <w:p>
      <w:pPr>
        <w:spacing w:after="0" w:line="120" w:lineRule="auto"/>
      </w:pPr>
    </w:p>
    <w:p>
      <w:pPr>
        <w:pStyle w:val="Heading2"/>
      </w:pPr>
      <w:r>
        <w:t xml:space="preserve">SIDE LETTER</w:t>
      </w:r>
    </w:p>
    <w:p>
      <w:pPr>
        <w:spacing w:after="0" w:line="120" w:lineRule="auto"/>
      </w:pPr>
    </w:p>
    <w:p>
      <w:r>
        <w:rPr>
          <w:b/>
        </w:rPr>
        <w:t xml:space="preserve">Date:</w:t>
      </w:r>
      <w:r>
        <w:t xml:space="preserve"> January 8, 2026</w:t>
      </w:r>
    </w:p>
    <w:p>
      <w:pPr>
        <w:spacing w:after="0" w:line="120" w:lineRule="auto"/>
      </w:pPr>
    </w:p>
    <w:p>
      <w:r>
        <w:t xml:space="preserve">This Side Letter (this "Letter") is entered into by and between SkillForge Inc. (the "Company") and Aleph Zero Fund LP (the "Investor") in connection with that certain Safe dated January 8, 2026 (the "Safe"). Capitalized terms used but not defined herein have the meanings set forth in the Safe.</w:t>
      </w:r>
    </w:p>
    <w:p>
      <w:pPr>
        <w:spacing w:after="0" w:line="120" w:lineRule="auto"/>
      </w:pPr>
    </w:p>
    <w:p>
      <w:pPr>
        <w:pStyle w:val="Heading3"/>
      </w:pPr>
      <w:r>
        <w:t xml:space="preserve">1. Financial Reporting</w:t>
      </w:r>
    </w:p>
    <w:p>
      <w:pPr>
        <w:spacing w:after="0" w:line="120" w:lineRule="auto"/>
      </w:pPr>
    </w:p>
    <w:p>
      <w:r>
        <w:t xml:space="preserve">The Company shall deliver to the Investor the following:</w:t>
      </w:r>
    </w:p>
    <w:p>
      <w:pPr>
        <w:spacing w:after="0" w:line="120" w:lineRule="auto"/>
      </w:pPr>
    </w:p>
    <w:p>
      <w:r>
        <w:rPr>
          <w:b/>
        </w:rPr>
        <w:t xml:space="preserve">(a)</w:t>
      </w:r>
      <w:r>
        <w:t xml:space="preserve"> Monthly unaudited financial statements, including balance sheet, income statement, and statement of cash flows, within thirty (30) days of the end of each calendar month.</w:t>
      </w:r>
    </w:p>
    <w:p>
      <w:pPr>
        <w:spacing w:after="0" w:line="120" w:lineRule="auto"/>
      </w:pPr>
    </w:p>
    <w:p>
      <w:r>
        <w:rPr>
          <w:b/>
        </w:rPr>
        <w:t xml:space="preserve">(b)</w:t>
      </w:r>
      <w:r>
        <w:t xml:space="preserve"> Annual financial statements, reviewed by an independent certified public accountant, within one hundred twenty (120) days of the end of each fiscal year.</w:t>
      </w:r>
    </w:p>
    <w:p>
      <w:pPr>
        <w:spacing w:after="0" w:line="120" w:lineRule="auto"/>
      </w:pPr>
    </w:p>
    <w:p>
      <w:r>
        <w:rPr>
          <w:b/>
        </w:rPr>
        <w:t xml:space="preserve">(c)</w:t>
      </w:r>
      <w:r>
        <w:t xml:space="preserve"> Monthly KPI dashboard including but not limited to: monthly recurring revenue, customer acquisition cost, net revenue retention, burn rate, and runway.</w:t>
      </w:r>
    </w:p>
    <w:p>
      <w:pPr>
        <w:spacing w:after="0" w:line="120" w:lineRule="auto"/>
      </w:pPr>
    </w:p>
    <w:p>
      <w:pPr>
        <w:pStyle w:val="Heading3"/>
      </w:pPr>
      <w:r>
        <w:t xml:space="preserve">2. Board Observer Seat</w:t>
      </w:r>
    </w:p>
    <w:p>
      <w:pPr>
        <w:spacing w:after="0" w:line="120" w:lineRule="auto"/>
      </w:pPr>
    </w:p>
    <w:p>
      <w:r>
        <w:t xml:space="preserve">The Investor shall have the right to designate one (1) representative to attend all meetings of the Company's Board of Directors in a non-voting observer capacity (the "Board Observer"). The Board Observer shall be entitled to receive all materials provided to members of the Board of Directors at the same time as such materials are distributed to the directors. The Company may exclude the Board Observer from executive sessions or discussions involving matters in which the Investor has a direct conflict of interest.</w:t>
      </w:r>
    </w:p>
    <w:p>
      <w:pPr>
        <w:spacing w:after="0" w:line="120" w:lineRule="auto"/>
      </w:pPr>
    </w:p>
    <w:p>
      <w:pPr>
        <w:pStyle w:val="Heading3"/>
      </w:pPr>
      <w:r>
        <w:t xml:space="preserve">3. Consent Right on Indebtedness</w:t>
      </w:r>
    </w:p>
    <w:p>
      <w:pPr>
        <w:spacing w:after="0" w:line="120" w:lineRule="auto"/>
      </w:pPr>
    </w:p>
    <w:p>
      <w:r>
        <w:t xml:space="preserve">The Company shall not, without the prior written consent of the Investor, incur, assume, guarantee, or otherwise become liable with respect to any indebtedness for borrowed money in an amount that, together with all other outstanding indebtedness for borrowed money, exceeds $250,000 in the aggregate; provided, however, that this restriction shall not apply to (i) trade payables incurred in the ordinary course of business, or (ii) equipment financing or capital leases in an aggregate amount not exceeding $100,000.</w:t>
      </w:r>
    </w:p>
    <w:p>
      <w:pPr>
        <w:spacing w:after="0" w:line="120" w:lineRule="auto"/>
      </w:pPr>
    </w:p>
    <w:p>
      <w:pPr>
        <w:pStyle w:val="Heading3"/>
      </w:pPr>
      <w:r>
        <w:t xml:space="preserve">4. Duration</w:t>
      </w:r>
    </w:p>
    <w:p>
      <w:pPr>
        <w:spacing w:after="0" w:line="120" w:lineRule="auto"/>
      </w:pPr>
    </w:p>
    <w:p>
      <w:r>
        <w:t xml:space="preserve">The rights set forth in this Side Letter shall terminate upon the earlier of (a) the closing of an Equity Financing (as defined in the Safe), at which time the Investor's rights shall be governed by the definitive transaction documents for such Equity Financing, or (b) three (3) years from the date hereof.</w:t>
      </w:r>
    </w:p>
    <w:p>
      <w:pPr>
        <w:spacing w:after="0" w:line="120" w:lineRule="auto"/>
      </w:pPr>
    </w:p>
    <w:p>
      <w:pPr>
        <w:pStyle w:val="Heading3"/>
      </w:pPr>
      <w:r>
        <w:t xml:space="preserve">5. Integration</w:t>
      </w:r>
    </w:p>
    <w:p>
      <w:pPr>
        <w:spacing w:after="0" w:line="120" w:lineRule="auto"/>
      </w:pPr>
    </w:p>
    <w:p>
      <w:r>
        <w:t xml:space="preserve">This Side Letter is supplemental to and shall be read in conjunction with the Safe. In the event of any conflict between the terms of this Side Letter and the Safe, the terms of this Side Letter shall control.</w:t>
      </w:r>
    </w:p>
    <w:p>
      <w:pPr>
        <w:spacing w:after="0" w:line="120" w:lineRule="auto"/>
      </w:pPr>
    </w:p>
    <w:p>
      <w:pPr>
        <w:pStyle w:val="HorizontalRule"/>
      </w:pPr>
    </w:p>
    <w:p>
      <w:pPr>
        <w:spacing w:after="0" w:line="120" w:lineRule="auto"/>
      </w:pPr>
    </w:p>
    <w:p>
      <w:r>
        <w:rPr>
          <w:b/>
        </w:rPr>
        <w:t xml:space="preserve">COMPANY:</w:t>
      </w:r>
    </w:p>
    <w:p>
      <w:r>
        <w:t xml:space="preserve">SkillForge Inc.</w:t>
      </w:r>
    </w:p>
    <w:p>
      <w:r>
        <w:t xml:space="preserve">By: /s/ Priya Ramanathan</w:t>
      </w:r>
    </w:p>
    <w:p>
      <w:r>
        <w:t xml:space="preserve">Name: Priya Ramanathan</w:t>
      </w:r>
    </w:p>
    <w:p>
      <w:r>
        <w:t xml:space="preserve">Title: Chief Executive Officer</w:t>
      </w:r>
    </w:p>
    <w:p>
      <w:pPr>
        <w:spacing w:after="0" w:line="120" w:lineRule="auto"/>
      </w:pPr>
    </w:p>
    <w:p>
      <w:r>
        <w:rPr>
          <w:b/>
        </w:rPr>
        <w:t xml:space="preserve">INVESTOR:</w:t>
      </w:r>
    </w:p>
    <w:p>
      <w:r>
        <w:t xml:space="preserve">Aleph Zero Fund LP</w:t>
      </w:r>
    </w:p>
    <w:p>
      <w:r>
        <w:t xml:space="preserve">By: /s/ David Kwon</w:t>
      </w:r>
    </w:p>
    <w:p>
      <w:r>
        <w:t xml:space="preserve">Name: David Kwon</w:t>
      </w:r>
    </w:p>
    <w:p>
      <w:r>
        <w:t xml:space="preserve">Title: General Partner</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