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 xml:space="preserve">SAFE (Simple Agreement for Future Equity)</w:t>
      </w:r>
    </w:p>
    <w:p>
      <w:pPr>
        <w:spacing w:after="0" w:line="120" w:lineRule="auto"/>
      </w:pPr>
    </w:p>
    <w:p>
      <w:pPr>
        <w:pStyle w:val="Heading2"/>
      </w:pPr>
      <w:r>
        <w:t xml:space="preserve">VaultSync Security Inc.</w:t>
      </w:r>
    </w:p>
    <w:p>
      <w:pPr>
        <w:spacing w:after="0" w:line="120" w:lineRule="auto"/>
      </w:pPr>
    </w:p>
    <w:p>
      <w:r>
        <w:rPr>
          <w:b/>
        </w:rPr>
        <w:t xml:space="preserve">Date:</w:t>
      </w:r>
      <w:r>
        <w:t xml:space="preserve"> August 19, 2025</w:t>
      </w:r>
    </w:p>
    <w:p>
      <w:pPr>
        <w:spacing w:after="0" w:line="120" w:lineRule="auto"/>
      </w:pPr>
    </w:p>
    <w:p>
      <w:pPr>
        <w:pStyle w:val="HorizontalRule"/>
      </w:pPr>
    </w:p>
    <w:p>
      <w:pPr>
        <w:spacing w:after="0" w:line="120" w:lineRule="auto"/>
      </w:pPr>
    </w:p>
    <w:p>
      <w:r>
        <w:t xml:space="preserve">THIS CERTIFIES THAT in exchange for the payment by Founders Fund Angel Program (the "Investor") of $250,000.00 (the "Purchase Amount") on or about August 19, 2025, VaultSync Security Inc., a Delaware corporation (the "Company"), hereby issues to the Investor the right to certain shares of the Company's capital stock, subject to the terms set forth below.</w:t>
      </w:r>
    </w:p>
    <w:p>
      <w:pPr>
        <w:spacing w:after="0" w:line="120" w:lineRule="auto"/>
      </w:pPr>
    </w:p>
    <w:p>
      <w:pPr>
        <w:pStyle w:val="HorizontalRule"/>
      </w:pPr>
    </w:p>
    <w:p>
      <w:pPr>
        <w:spacing w:after="0" w:line="120" w:lineRule="auto"/>
      </w:pPr>
    </w:p>
    <w:p>
      <w:pPr>
        <w:pStyle w:val="Heading3"/>
      </w:pPr>
      <w:r>
        <w:t xml:space="preserve">1. Events</w:t>
      </w:r>
    </w:p>
    <w:p>
      <w:pPr>
        <w:spacing w:after="0" w:line="120" w:lineRule="auto"/>
      </w:pPr>
    </w:p>
    <w:p>
      <w:r>
        <w:rPr>
          <w:b/>
        </w:rPr>
        <w:t xml:space="preserve">(a) Equity Financing.</w:t>
      </w:r>
      <w:r>
        <w:t xml:space="preserve"> If there is an Equity Financing before the termination of this Safe, on the initial closing of such Equity Financing, this Safe will automatically convert into the number of shares of Safe Preferred Stock equal to the Purchase Amount divided by the Conversion Price.</w:t>
      </w:r>
    </w:p>
    <w:p>
      <w:pPr>
        <w:spacing w:after="0" w:line="120" w:lineRule="auto"/>
      </w:pPr>
    </w:p>
    <w:p>
      <w:r>
        <w:t xml:space="preserve">In connection with the automatic conversion of this Safe into shares of Safe Preferred Stock, the Investor will execute and deliver to the Company all of the transaction documents related to the Equity Financing; provided, that such documents (i) are the same documents to be entered into with the purchasers of Standard Preferred Stock, with appropriate variations for the Safe Preferred Stock if applicable, and (ii) have customary exceptions to any drag-along applicable to the Investor, including, without limitation, parsing out liability across investors and limiting representations and warranties of the Investor to those related to its authority, good standing, and title to the securities being transferred.</w:t>
      </w:r>
    </w:p>
    <w:p>
      <w:pPr>
        <w:spacing w:after="0" w:line="120" w:lineRule="auto"/>
      </w:pPr>
    </w:p>
    <w:p>
      <w:r>
        <w:rPr>
          <w:b/>
        </w:rPr>
        <w:t xml:space="preserve">(b) Liquidity Event.</w:t>
      </w:r>
      <w:r>
        <w:t xml:space="preserve"> If there is a Liquidity Event before the termination of this Safe, this Safe will automatically be entitled (subject to the liquidation priority set forth in Section 1(d) below) to receive a portion of Proceeds, due and payable to the Investor immediately prior to, or concurrent with, the consummation of such Liquidity Event, equal to the greater of (i) the Purchase Amount or (ii) the amount payable at the Liquidity Event as if the Safe had been converted into Common Stock at the Liquidity Event Conversion Price.</w:t>
      </w:r>
    </w:p>
    <w:p>
      <w:pPr>
        <w:spacing w:after="0" w:line="120" w:lineRule="auto"/>
      </w:pPr>
    </w:p>
    <w:p>
      <w:r>
        <w:rPr>
          <w:b/>
        </w:rPr>
        <w:t xml:space="preserve">(c) Dissolution Event.</w:t>
      </w:r>
      <w:r>
        <w:t xml:space="preserve"> If there is a Dissolution Event before the termination of this Safe, the Company will pay an amount equal to the Purchase Amount, due and payable to the Investor immediately prior to the consummation of the Dissolution Event, subject to the rights and preferences of the holders of the Company's outstanding Preferred Stock, if any.</w:t>
      </w:r>
    </w:p>
    <w:p>
      <w:pPr>
        <w:spacing w:after="0" w:line="120" w:lineRule="auto"/>
      </w:pPr>
    </w:p>
    <w:p>
      <w:r>
        <w:rPr>
          <w:b/>
        </w:rPr>
        <w:t xml:space="preserve">(d) Liquidation Priority.</w:t>
      </w:r>
      <w:r>
        <w:t xml:space="preserve"> In a Liquidity Event or Dissolution Event, this Safe is intended to operate like standard non-participating Preferred Stock. The Investor's right to receive its Purchase Amount is:</w:t>
      </w:r>
    </w:p>
    <w:p>
      <w:pPr>
        <w:spacing w:after="0" w:line="120" w:lineRule="auto"/>
      </w:pPr>
    </w:p>
    <w:p>
      <w:r>
        <w:t xml:space="preserve">(i) Junior to payment of outstanding indebtedness and creditor claims;</w:t>
      </w:r>
    </w:p>
    <w:p>
      <w:pPr>
        <w:spacing w:after="0" w:line="120" w:lineRule="auto"/>
      </w:pPr>
    </w:p>
    <w:p>
      <w:r>
        <w:t xml:space="preserve">(ii) On par with payments for other Safes and/or Preferred Stock;</w:t>
      </w:r>
    </w:p>
    <w:p>
      <w:pPr>
        <w:spacing w:after="0" w:line="120" w:lineRule="auto"/>
      </w:pPr>
    </w:p>
    <w:p>
      <w:r>
        <w:t xml:space="preserve">(iii) Senior to payments for Common Stock.</w:t>
      </w:r>
    </w:p>
    <w:p>
      <w:pPr>
        <w:spacing w:after="0" w:line="120" w:lineRule="auto"/>
      </w:pPr>
    </w:p>
    <w:p>
      <w:pPr>
        <w:pStyle w:val="Heading3"/>
      </w:pPr>
      <w:r>
        <w:t xml:space="preserve">2. Definitions</w:t>
      </w:r>
    </w:p>
    <w:p>
      <w:pPr>
        <w:spacing w:after="0" w:line="120" w:lineRule="auto"/>
      </w:pPr>
    </w:p>
    <w:p>
      <w:r>
        <w:rPr>
          <w:b/>
        </w:rPr>
        <w:t xml:space="preserve">"Conversion Price"</w:t>
      </w:r>
      <w:r>
        <w:t xml:space="preserve"> means the Safe Price (the Company and the Investor acknowledge that this Safe does not include a Discount Rate).</w:t>
      </w:r>
    </w:p>
    <w:p>
      <w:pPr>
        <w:spacing w:after="0" w:line="120" w:lineRule="auto"/>
      </w:pPr>
    </w:p>
    <w:p>
      <w:r>
        <w:rPr>
          <w:b/>
        </w:rPr>
        <w:t xml:space="preserve">"Post-Money Valuation Cap"</w:t>
      </w:r>
      <w:r>
        <w:t xml:space="preserve"> means $65,000,000.</w:t>
      </w:r>
    </w:p>
    <w:p>
      <w:pPr>
        <w:spacing w:after="0" w:line="120" w:lineRule="auto"/>
      </w:pPr>
    </w:p>
    <w:p>
      <w:r>
        <w:rPr>
          <w:b/>
        </w:rPr>
        <w:t xml:space="preserve">"Safe Price"</w:t>
      </w:r>
      <w:r>
        <w:t xml:space="preserve"> means the price per share equal to the Post-Money Valuation Cap divided by the Company Capitalization.</w:t>
      </w:r>
    </w:p>
    <w:p>
      <w:pPr>
        <w:spacing w:after="0" w:line="120" w:lineRule="auto"/>
      </w:pPr>
    </w:p>
    <w:p>
      <w:r>
        <w:rPr>
          <w:b/>
        </w:rPr>
        <w:t xml:space="preserve">"Equity Financing"</w:t>
      </w:r>
      <w:r>
        <w:t xml:space="preserve"> means a bona fide transaction or series of transactions with the principal purpose of raising capital, pursuant to which the Company issues and sells Preferred Stock at a fixed pre-money valuation.</w:t>
      </w:r>
    </w:p>
    <w:p>
      <w:pPr>
        <w:spacing w:after="0" w:line="120" w:lineRule="auto"/>
      </w:pPr>
    </w:p>
    <w:p>
      <w:r>
        <w:rPr>
          <w:b/>
        </w:rPr>
        <w:t xml:space="preserve">"Liquidity Event"</w:t>
      </w:r>
      <w:r>
        <w:t xml:space="preserve"> means a Change of Control or an Initial Public Offering.</w:t>
      </w:r>
    </w:p>
    <w:p>
      <w:pPr>
        <w:spacing w:after="0" w:line="120" w:lineRule="auto"/>
      </w:pPr>
    </w:p>
    <w:p>
      <w:r>
        <w:rPr>
          <w:b/>
        </w:rPr>
        <w:t xml:space="preserve">"Liquidity Event Conversion Price"</w:t>
      </w:r>
      <w:r>
        <w:t xml:space="preserve"> means the price per share equal to the Post-Money Valuation Cap divided by the Liquidity Capitalization.</w:t>
      </w:r>
    </w:p>
    <w:p>
      <w:pPr>
        <w:spacing w:after="0" w:line="120" w:lineRule="auto"/>
      </w:pPr>
    </w:p>
    <w:p>
      <w:pPr>
        <w:pStyle w:val="Heading3"/>
      </w:pPr>
      <w:r>
        <w:t xml:space="preserve">3. Company Representations</w:t>
      </w:r>
    </w:p>
    <w:p>
      <w:pPr>
        <w:spacing w:after="0" w:line="120" w:lineRule="auto"/>
      </w:pPr>
    </w:p>
    <w:p>
      <w:r>
        <w:rPr>
          <w:b/>
        </w:rPr>
        <w:t xml:space="preserve">(a)</w:t>
      </w:r>
      <w:r>
        <w:t xml:space="preserve"> The Company is a corporation duly organized, validly existing, and in good standing under the laws of the State of Delaware, and has the power and authority to own, lease and operate its properties and carry on its business as now conducted.</w:t>
      </w:r>
    </w:p>
    <w:p>
      <w:pPr>
        <w:spacing w:after="0" w:line="120" w:lineRule="auto"/>
      </w:pPr>
    </w:p>
    <w:p>
      <w:r>
        <w:rPr>
          <w:b/>
        </w:rPr>
        <w:t xml:space="preserve">(b)</w:t>
      </w:r>
      <w:r>
        <w:t xml:space="preserve"> The execution, delivery and performance by the Company of this Safe is within the power of the Company and has been duly authorized by all necessary actions on the part of the Company.</w:t>
      </w:r>
    </w:p>
    <w:p>
      <w:pPr>
        <w:spacing w:after="0" w:line="120" w:lineRule="auto"/>
      </w:pPr>
    </w:p>
    <w:p>
      <w:r>
        <w:rPr>
          <w:b/>
        </w:rPr>
        <w:t xml:space="preserve">(c)</w:t>
      </w:r>
      <w:r>
        <w:t xml:space="preserve"> The performance and compliance with the terms and provisions of this Safe by the Company does not and will not (i) violate any material judgment, order, writ, decree or rule of any court or governmental agency, (ii) conflict with or result in the breach or default of any material contract, or (iii) violate any provision of the Company's Certificate of Incorporation or Bylaws.</w:t>
      </w:r>
    </w:p>
    <w:p>
      <w:pPr>
        <w:spacing w:after="0" w:line="120" w:lineRule="auto"/>
      </w:pPr>
    </w:p>
    <w:p>
      <w:pPr>
        <w:pStyle w:val="Heading3"/>
      </w:pPr>
      <w:r>
        <w:t xml:space="preserve">4. Investor Representations</w:t>
      </w:r>
    </w:p>
    <w:p>
      <w:pPr>
        <w:spacing w:after="0" w:line="120" w:lineRule="auto"/>
      </w:pPr>
    </w:p>
    <w:p>
      <w:r>
        <w:rPr>
          <w:b/>
        </w:rPr>
        <w:t xml:space="preserve">(a)</w:t>
      </w:r>
      <w:r>
        <w:t xml:space="preserve"> The Investor has full legal capacity, power and authority to execute and deliver this Safe and to perform its obligations hereunder.</w:t>
      </w:r>
    </w:p>
    <w:p>
      <w:pPr>
        <w:spacing w:after="0" w:line="120" w:lineRule="auto"/>
      </w:pPr>
    </w:p>
    <w:p>
      <w:r>
        <w:rPr>
          <w:b/>
        </w:rPr>
        <w:t xml:space="preserve">(b)</w:t>
      </w:r>
      <w:r>
        <w:t xml:space="preserve"> The Investor is an accredited investor as such term is defined in Rule 501 of Regulation D under the Securities Act.</w:t>
      </w:r>
    </w:p>
    <w:p>
      <w:pPr>
        <w:spacing w:after="0" w:line="120" w:lineRule="auto"/>
      </w:pPr>
    </w:p>
    <w:p>
      <w:r>
        <w:rPr>
          <w:b/>
        </w:rPr>
        <w:t xml:space="preserve">(c)</w:t>
      </w:r>
      <w:r>
        <w:t xml:space="preserve"> The Investor is purchasing this Safe for the Investor's own account for investment, not as a nominee or agent, and not with a view to, or for resale in connection with, the distribution thereof.</w:t>
      </w:r>
    </w:p>
    <w:p>
      <w:pPr>
        <w:spacing w:after="0" w:line="120" w:lineRule="auto"/>
      </w:pPr>
    </w:p>
    <w:p>
      <w:pPr>
        <w:pStyle w:val="Heading3"/>
      </w:pPr>
      <w:r>
        <w:t xml:space="preserve">5. Expanded Most Favored Nation</w:t>
      </w:r>
    </w:p>
    <w:p>
      <w:pPr>
        <w:spacing w:after="0" w:line="120" w:lineRule="auto"/>
      </w:pPr>
    </w:p>
    <w:p>
      <w:r>
        <w:rPr>
          <w:b/>
        </w:rPr>
        <w:t xml:space="preserve">(a) MFN Coverage.</w:t>
      </w:r>
      <w:r>
        <w:t xml:space="preserve"> If the Company issues, after the date of this Safe, any of the following instruments on terms more favorable than those set forth in this Safe, the Investor may elect to amend this Safe to incorporate such more favorable terms:</w:t>
      </w:r>
    </w:p>
    <w:p>
      <w:pPr>
        <w:spacing w:after="0" w:line="120" w:lineRule="auto"/>
      </w:pPr>
    </w:p>
    <w:p>
      <w:r>
        <w:t xml:space="preserve">(i) Any subsequent Safe (a "Subsequent Safe");</w:t>
      </w:r>
    </w:p>
    <w:p>
      <w:pPr>
        <w:spacing w:after="0" w:line="120" w:lineRule="auto"/>
      </w:pPr>
    </w:p>
    <w:p>
      <w:r>
        <w:t xml:space="preserve">(ii) Any convertible promissory note (a "Subsequent Note"), including without limitation any note with a valuation cap, discount, interest rate, or maturity date;</w:t>
      </w:r>
    </w:p>
    <w:p>
      <w:pPr>
        <w:spacing w:after="0" w:line="120" w:lineRule="auto"/>
      </w:pPr>
    </w:p>
    <w:p>
      <w:r>
        <w:t xml:space="preserve">(iii) Any revenue-based financing agreement or instrument that provides the holder with a right to convert into equity securities of the Company (a "Subsequent RBF Instrument").</w:t>
      </w:r>
    </w:p>
    <w:p>
      <w:pPr>
        <w:spacing w:after="0" w:line="120" w:lineRule="auto"/>
      </w:pPr>
    </w:p>
    <w:p>
      <w:r>
        <w:rPr>
          <w:b/>
        </w:rPr>
        <w:t xml:space="preserve">(b) Determination of More Favorable Terms.</w:t>
      </w:r>
      <w:r>
        <w:t xml:space="preserve"> For purposes of this Section 5, terms shall be deemed "more favorable" if they provide the holder of a Subsequent Safe, Subsequent Note, or Subsequent RBF Instrument with: (i) a lower valuation cap, (ii) a higher discount rate, (iii) additional rights not contained in this Safe (such as pro-rata rights, information rights, or board observer seats), (iv) interest payments or accrual, or (v) any other economic benefit not available to the Investor under this Safe, as reasonably determined by the Investor.</w:t>
      </w:r>
    </w:p>
    <w:p>
      <w:pPr>
        <w:spacing w:after="0" w:line="120" w:lineRule="auto"/>
      </w:pPr>
    </w:p>
    <w:p>
      <w:r>
        <w:rPr>
          <w:b/>
        </w:rPr>
        <w:t xml:space="preserve">(c) Notice and Election.</w:t>
      </w:r>
      <w:r>
        <w:t xml:space="preserve"> The Company shall provide the Investor with written notice, including a copy of the relevant instrument or a detailed summary of its terms, within five (5) business days of the issuance of any Subsequent Safe, Subsequent Note, or Subsequent RBF Instrument. The Investor shall have thirty (30) days from receipt of such notice to elect to amend this Safe.</w:t>
      </w:r>
    </w:p>
    <w:p>
      <w:pPr>
        <w:spacing w:after="0" w:line="120" w:lineRule="auto"/>
      </w:pPr>
    </w:p>
    <w:p>
      <w:r>
        <w:rPr>
          <w:b/>
        </w:rPr>
        <w:t xml:space="preserve">(d) Partial Election.</w:t>
      </w:r>
      <w:r>
        <w:t xml:space="preserve"> The Investor may elect to adopt some but not all of the more favorable terms from a Subsequent Safe, Subsequent Note, or Subsequent RBF Instrument.</w:t>
      </w:r>
    </w:p>
    <w:p>
      <w:pPr>
        <w:spacing w:after="0" w:line="120" w:lineRule="auto"/>
      </w:pPr>
    </w:p>
    <w:p>
      <w:pPr>
        <w:pStyle w:val="Heading3"/>
      </w:pPr>
      <w:r>
        <w:t xml:space="preserve">6. Information Rights</w:t>
      </w:r>
    </w:p>
    <w:p>
      <w:pPr>
        <w:spacing w:after="0" w:line="120" w:lineRule="auto"/>
      </w:pPr>
    </w:p>
    <w:p>
      <w:r>
        <w:rPr>
          <w:b/>
        </w:rPr>
        <w:t xml:space="preserve">(a)</w:t>
      </w:r>
      <w:r>
        <w:t xml:space="preserve"> So long as this Safe remains outstanding and has not been converted into equity securities of the Company, the Investor shall be entitled to receive:</w:t>
      </w:r>
    </w:p>
    <w:p>
      <w:pPr>
        <w:spacing w:after="0" w:line="120" w:lineRule="auto"/>
      </w:pPr>
    </w:p>
    <w:p>
      <w:r>
        <w:t xml:space="preserve">(i) Annual unaudited financial statements, including balance sheet, income statement, and statement of cash flows, within one hundred twenty (120) days of the end of each fiscal year;</w:t>
      </w:r>
    </w:p>
    <w:p>
      <w:pPr>
        <w:spacing w:after="0" w:line="120" w:lineRule="auto"/>
      </w:pPr>
    </w:p>
    <w:p>
      <w:r>
        <w:t xml:space="preserve">(ii) A capitalization table, updated as of the end of each fiscal year or upon the issuance of any equity security or convertible instrument;</w:t>
      </w:r>
    </w:p>
    <w:p>
      <w:pPr>
        <w:spacing w:after="0" w:line="120" w:lineRule="auto"/>
      </w:pPr>
    </w:p>
    <w:p>
      <w:r>
        <w:t xml:space="preserve">(iii) Written notice of any material adverse event affecting the Company's business, financial condition, or operations, within ten (10) business days of the Company becoming aware of such event.</w:t>
      </w:r>
    </w:p>
    <w:p>
      <w:pPr>
        <w:spacing w:after="0" w:line="120" w:lineRule="auto"/>
      </w:pPr>
    </w:p>
    <w:p>
      <w:r>
        <w:rPr>
          <w:b/>
        </w:rPr>
        <w:t xml:space="preserve">(b)</w:t>
      </w:r>
      <w:r>
        <w:t xml:space="preserve"> The information rights under this Section 6 are personal to the Investor and may not be assigned or transferred without the Company's written consent.</w:t>
      </w:r>
    </w:p>
    <w:p>
      <w:pPr>
        <w:spacing w:after="0" w:line="120" w:lineRule="auto"/>
      </w:pPr>
    </w:p>
    <w:p>
      <w:pPr>
        <w:pStyle w:val="Heading3"/>
      </w:pPr>
      <w:r>
        <w:t xml:space="preserve">7. Transfer Restrictions and Affiliate Waiver</w:t>
      </w:r>
    </w:p>
    <w:p>
      <w:pPr>
        <w:spacing w:after="0" w:line="120" w:lineRule="auto"/>
      </w:pPr>
    </w:p>
    <w:p>
      <w:r>
        <w:rPr>
          <w:b/>
        </w:rPr>
        <w:t xml:space="preserve">(a) General Transfer Restriction.</w:t>
      </w:r>
      <w:r>
        <w:t xml:space="preserve"> The Investor shall not transfer this Safe or any rights hereunder without the Company's prior written consent.</w:t>
      </w:r>
    </w:p>
    <w:p>
      <w:pPr>
        <w:spacing w:after="0" w:line="120" w:lineRule="auto"/>
      </w:pPr>
    </w:p>
    <w:p>
      <w:r>
        <w:rPr>
          <w:b/>
        </w:rPr>
        <w:t xml:space="preserve">(b) Affiliate Exception.</w:t>
      </w:r>
      <w:r>
        <w:t xml:space="preserve"> Notwithstanding Section 7(a), the Investor may, without the Company's consent, transfer this Safe (in whole or in part) to any entity that (i) is directly or indirectly controlled by, controls, or is under common control with Peter Thiel, the Founders Fund management company, or any general partner of any Founders Fund vehicle ("Affiliated Entity"), and (ii) agrees in writing to be bound by the terms of this Safe. For purposes of this section, "control" means the ownership of more than fifty percent (50%) of the voting securities or equivalent ownership interest. The Company hereby waives any right of first refusal, consent right, or transfer restriction that would otherwise apply to transfers to Affiliated Entities.</w:t>
      </w:r>
    </w:p>
    <w:p>
      <w:pPr>
        <w:spacing w:after="0" w:line="120" w:lineRule="auto"/>
      </w:pPr>
    </w:p>
    <w:p>
      <w:r>
        <w:rPr>
          <w:b/>
        </w:rPr>
        <w:t xml:space="preserve">(c) Notice of Transfer.</w:t>
      </w:r>
      <w:r>
        <w:t xml:space="preserve"> The Investor shall provide the Company with written notice of any transfer to an Affiliated Entity within ten (10) business days of such transfer, together with the identity of the transferee and confirmation that the transferee has agreed to be bound by this Safe.</w:t>
      </w:r>
    </w:p>
    <w:p>
      <w:pPr>
        <w:spacing w:after="0" w:line="120" w:lineRule="auto"/>
      </w:pPr>
    </w:p>
    <w:p>
      <w:pPr>
        <w:pStyle w:val="Heading3"/>
      </w:pPr>
      <w:r>
        <w:t xml:space="preserve">8. Miscellaneous</w:t>
      </w:r>
    </w:p>
    <w:p>
      <w:pPr>
        <w:spacing w:after="0" w:line="120" w:lineRule="auto"/>
      </w:pPr>
    </w:p>
    <w:p>
      <w:r>
        <w:rPr>
          <w:b/>
        </w:rPr>
        <w:t xml:space="preserve">(a) Amendment.</w:t>
      </w:r>
      <w:r>
        <w:t xml:space="preserve"> Any provision of this Safe may be amended, waived or modified by written consent of the Company and either (i) the Investor or (ii) the majority-in-interest of all then-outstanding Safes with the same Post-Money Valuation Cap.</w:t>
      </w:r>
    </w:p>
    <w:p>
      <w:pPr>
        <w:spacing w:after="0" w:line="120" w:lineRule="auto"/>
      </w:pPr>
    </w:p>
    <w:p>
      <w:r>
        <w:rPr>
          <w:b/>
        </w:rPr>
        <w:t xml:space="preserve">(b) Governing Law.</w:t>
      </w:r>
      <w:r>
        <w:t xml:space="preserve"> This Safe shall be governed by and construed in accordance with the laws of the State of Delaware.</w:t>
      </w:r>
    </w:p>
    <w:p>
      <w:pPr>
        <w:spacing w:after="0" w:line="120" w:lineRule="auto"/>
      </w:pPr>
    </w:p>
    <w:p>
      <w:r>
        <w:rPr>
          <w:b/>
        </w:rPr>
        <w:t xml:space="preserve">(c) Assignment.</w:t>
      </w:r>
      <w:r>
        <w:t xml:space="preserve"> Except as set forth in Section 7, neither this Safe nor the rights contained herein may be assigned, by operation of law or otherwise, by either party without the prior written consent of the other.</w:t>
      </w:r>
    </w:p>
    <w:p>
      <w:pPr>
        <w:spacing w:after="0" w:line="120" w:lineRule="auto"/>
      </w:pPr>
    </w:p>
    <w:p>
      <w:r>
        <w:rPr>
          <w:b/>
        </w:rPr>
        <w:t xml:space="preserve">(d) Entire Agreement.</w:t>
      </w:r>
      <w:r>
        <w:t xml:space="preserve"> This Safe constitutes the full and entire understanding and agreement between the parties with respect to the subject matter hereof.</w:t>
      </w:r>
    </w:p>
    <w:p>
      <w:pPr>
        <w:spacing w:after="0" w:line="120" w:lineRule="auto"/>
      </w:pPr>
    </w:p>
    <w:p>
      <w:pPr>
        <w:pStyle w:val="HorizontalRule"/>
      </w:pPr>
    </w:p>
    <w:p>
      <w:pPr>
        <w:spacing w:after="0" w:line="120" w:lineRule="auto"/>
      </w:pPr>
    </w:p>
    <w:p>
      <w:r>
        <w:rPr>
          <w:b/>
        </w:rPr>
        <w:t xml:space="preserve">IN WITNESS WHEREOF,</w:t>
      </w:r>
      <w:r>
        <w:t xml:space="preserve"> the undersigned have caused this Safe to be duly executed and delivered.</w:t>
      </w:r>
    </w:p>
    <w:p>
      <w:pPr>
        <w:spacing w:after="0" w:line="120" w:lineRule="auto"/>
      </w:pPr>
    </w:p>
    <w:p>
      <w:r>
        <w:rPr>
          <w:b/>
        </w:rPr>
        <w:t xml:space="preserve">COMPANY:</w:t>
      </w:r>
    </w:p>
    <w:p>
      <w:r>
        <w:t xml:space="preserve">VaultSync Security Inc.</w:t>
      </w:r>
    </w:p>
    <w:p>
      <w:r>
        <w:t xml:space="preserve">By: /s/ Daniel Reeves</w:t>
      </w:r>
    </w:p>
    <w:p>
      <w:r>
        <w:t xml:space="preserve">Name: Daniel Reeves</w:t>
      </w:r>
    </w:p>
    <w:p>
      <w:r>
        <w:t xml:space="preserve">Title: Chief Executive Officer</w:t>
      </w:r>
    </w:p>
    <w:p>
      <w:pPr>
        <w:spacing w:after="0" w:line="120" w:lineRule="auto"/>
      </w:pPr>
    </w:p>
    <w:p>
      <w:r>
        <w:rPr>
          <w:b/>
        </w:rPr>
        <w:t xml:space="preserve">INVESTOR:</w:t>
      </w:r>
    </w:p>
    <w:p>
      <w:r>
        <w:t xml:space="preserve">Founders Fund Angel Program</w:t>
      </w:r>
    </w:p>
    <w:p>
      <w:r>
        <w:t xml:space="preserve">By: /s/ Cyan Banister</w:t>
      </w:r>
    </w:p>
    <w:p>
      <w:r>
        <w:t xml:space="preserve">Name: Cyan Banister</w:t>
      </w:r>
    </w:p>
    <w:p>
      <w:r>
        <w:t xml:space="preserve">Title: Authorized Signatory</w:t>
      </w:r>
    </w:p>
    <w:p>
      <w:pPr>
        <w:spacing w:after="0" w:line="120" w:lineRule="auto"/>
      </w:pPr>
    </w:p>
    <w:p>
      <w:r>
        <w:t xml:space="preserve">Purchase Amount received: $250,000.00</w:t>
      </w:r>
    </w:p>
    <w:p>
      <w:pPr>
        <w:spacing w:after="0" w:line="120" w:lineRule="auto"/>
      </w:pPr>
    </w:p>
    <w:sectPr>
      <w:pgSz w:w="12240" w:h="15840"/>
      <w:pgMar w:top="1440" w:right="1440" w:bottom="1440" w:left="1440"/>
    </w:sectPr>
  </w:body>
</w:document>
</file>

<file path=word/styles.xml><?xml version="1.0" encoding="utf-8"?>
<w:styles xmlns:w="http://schemas.openxmlformats.org/wordprocessingml/2006/main">
  <w:docDefaults>
    <w:rPrDefault>
      <w:rPr>
        <w:rFonts w:ascii="Calibri" w:hAnsi="Calibri" w:cs="Calibri"/>
        <w:sz w:val="22"/>
        <w:szCs w:val="22"/>
      </w:rPr>
    </w:rPrDefault>
    <w:pPrDefault>
      <w:pPr>
        <w:spacing w:after="120" w:line="276" w:lineRule="auto"/>
      </w:pPr>
    </w:pPrDefault>
  </w:docDefaults>
  <w:style w:type="paragraph" w:styleId="Normal">
    <w:name w:val="Normal"/>
    <w:qFormat/>
  </w:style>
  <w:style w:type="paragraph" w:styleId="Heading1">
    <w:name w:val="heading 1"/>
    <w:qFormat/>
    <w:pPr>
      <w:spacing w:before="360" w:after="120"/>
    </w:pPr>
    <w:rPr>
      <w:rFonts w:ascii="Calibri" w:hAnsi="Calibri"/>
      <w:b/>
      <w:color w:val="1F3864"/>
      <w:sz w:val="36"/>
      <w:szCs w:val="36"/>
    </w:rPr>
  </w:style>
  <w:style w:type="paragraph" w:styleId="Heading2">
    <w:name w:val="heading 2"/>
    <w:qFormat/>
    <w:pPr>
      <w:spacing w:before="240" w:after="80"/>
    </w:pPr>
    <w:rPr>
      <w:rFonts w:ascii="Calibri" w:hAnsi="Calibri"/>
      <w:b/>
      <w:color w:val="2E75B6"/>
      <w:sz w:val="28"/>
      <w:szCs w:val="28"/>
    </w:rPr>
  </w:style>
  <w:style w:type="paragraph" w:styleId="Heading3">
    <w:name w:val="heading 3"/>
    <w:qFormat/>
    <w:pPr>
      <w:spacing w:before="200" w:after="60"/>
    </w:pPr>
    <w:rPr>
      <w:rFonts w:ascii="Calibri" w:hAnsi="Calibri"/>
      <w:b/>
      <w:color w:val="404040"/>
      <w:sz w:val="24"/>
      <w:szCs w:val="24"/>
    </w:rPr>
  </w:style>
  <w:style w:type="paragraph" w:styleId="ListBullet">
    <w:name w:val="List Bullet"/>
    <w:pPr>
      <w:ind w:left="720" w:hanging="360"/>
      <w:spacing w:after="60"/>
    </w:pPr>
  </w:style>
  <w:style w:type="paragraph" w:styleId="HorizontalRule">
    <w:name w:val="Horizontal Rule"/>
    <w:pPr>
      <w:pBdr>
        <w:bottom w:val="single" w:sz="6" w:space="1" w:color="CCCCCC"/>
      </w:pBdr>
      <w:spacing w:before="120" w:after="120"/>
    </w:pPr>
    <w:rPr>
      <w:sz w:val="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