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SAFE TERM SHEET</w:t>
      </w:r>
    </w:p>
    <w:p>
      <w:pPr>
        <w:pStyle w:val="Heading2"/>
      </w:pPr>
      <w:r>
        <w:t xml:space="preserve">Carto Labs, Inc. — Pre-Seed Post-Money SAFE Financing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August 19, 2025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document sets forth the principal terms of the proposed Simple Agreement</w:t>
      </w:r>
    </w:p>
    <w:p>
      <w:r>
        <w:t xml:space="preserve">for Future Equity ("SAFE") offering by Carto Labs, Inc., a Delaware corporation</w:t>
      </w:r>
    </w:p>
    <w:p>
      <w:r>
        <w:t xml:space="preserve">(the "Company"). This summary is non-binding in its entirety.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Post-Money SAFEs based on the YC standard post-money SAFE</w:t>
      </w:r>
    </w:p>
    <w:p>
      <w:r>
        <w:t xml:space="preserve">template, with modifications described herein</w:t>
      </w:r>
    </w:p>
    <w:p>
      <w:pPr>
        <w:spacing w:after="0" w:line="120" w:lineRule="auto"/>
      </w:pPr>
    </w:p>
    <w:p>
      <w:r>
        <w:rPr>
          <w:b/>
        </w:rPr>
        <w:t xml:space="preserve">Total Amount Raised:</w:t>
      </w:r>
      <w:r>
        <w:t xml:space="preserve"> $1,500,000</w:t>
      </w:r>
    </w:p>
    <w:p>
      <w:pPr>
        <w:spacing w:after="0" w:line="120" w:lineRule="auto"/>
      </w:pPr>
    </w:p>
    <w:p>
      <w:r>
        <w:rPr>
          <w:b/>
        </w:rPr>
        <w:t xml:space="preserve">Post-Money Valuation Cap:</w:t>
      </w:r>
      <w:r>
        <w:t xml:space="preserve"> $8,000,000</w:t>
      </w:r>
    </w:p>
    <w:p>
      <w:pPr>
        <w:spacing w:after="0" w:line="120" w:lineRule="auto"/>
      </w:pPr>
    </w:p>
    <w:p>
      <w:r>
        <w:rPr>
          <w:b/>
        </w:rPr>
        <w:t xml:space="preserve">Discount:</w:t>
      </w:r>
      <w:r>
        <w:t xml:space="preserve"> None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Implied Ownership 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Luna Capital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4.38%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Desert Sky Ventures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2.50%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Rob Solomon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1.88%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Diane Park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1.56%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Anton Kessler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1.25%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Priya Sundaram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1.25%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Marcus Hilton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1.25%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East Bridge Angels LLC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1.25%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Sofia Yuen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0.94%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Raj Malhotra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0.94%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NextWave Syndicate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0.94%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Karen Whitfield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0.63%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**$1,500,000**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**18.75%**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SAFE TERMS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Each SAFE converts into shares of the Company's Preferred Stock</w:t>
      </w:r>
    </w:p>
    <w:p>
      <w:r>
        <w:t xml:space="preserve">upon the next priced Equity Financing at a price per share equal to the Post-</w:t>
      </w:r>
    </w:p>
    <w:p>
      <w:r>
        <w:t xml:space="preserve">Money Valuation Cap ($8,000,000) divided by the Company Capitalization.</w:t>
      </w:r>
    </w:p>
    <w:p>
      <w:pPr>
        <w:spacing w:after="0" w:line="120" w:lineRule="auto"/>
      </w:pPr>
    </w:p>
    <w:p>
      <w:r>
        <w:rPr>
          <w:b/>
        </w:rPr>
        <w:t xml:space="preserve">Equity Financing:</w:t>
      </w:r>
      <w:r>
        <w:t xml:space="preserve"> A bona fide transaction in which the Company issues and</w:t>
      </w:r>
    </w:p>
    <w:p>
      <w:r>
        <w:t xml:space="preserve">sells Preferred Stock at a fixed pre-money valuation. No minimum amount</w:t>
      </w:r>
    </w:p>
    <w:p>
      <w:r>
        <w:t xml:space="preserve">threshold for triggering conversion.</w:t>
      </w:r>
    </w:p>
    <w:p>
      <w:pPr>
        <w:spacing w:after="0" w:line="120" w:lineRule="auto"/>
      </w:pPr>
    </w:p>
    <w:p>
      <w:r>
        <w:rPr>
          <w:b/>
        </w:rPr>
        <w:t xml:space="preserve">Liquidity Event:</w:t>
      </w:r>
      <w:r>
        <w:t xml:space="preserve"> Upon a Change of Control or IPO before conversion, each</w:t>
      </w:r>
    </w:p>
    <w:p>
      <w:r>
        <w:t xml:space="preserve">holder receives the greater of (i) the Purchase Amount, or (ii) the amount</w:t>
      </w:r>
    </w:p>
    <w:p>
      <w:r>
        <w:t xml:space="preserve">payable on the as-converted Common Stock shares.</w:t>
      </w:r>
    </w:p>
    <w:p>
      <w:pPr>
        <w:spacing w:after="0" w:line="120" w:lineRule="auto"/>
      </w:pPr>
    </w:p>
    <w:p>
      <w:r>
        <w:rPr>
          <w:b/>
        </w:rPr>
        <w:t xml:space="preserve">Dissolution Event:</w:t>
      </w:r>
      <w:r>
        <w:t xml:space="preserve"> SAFE holders receive their Purchase Amounts, pari passu</w:t>
      </w:r>
    </w:p>
    <w:p>
      <w:r>
        <w:t xml:space="preserve">with each other and senior to Common Stock.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ADVISOR SHARES</w:t>
      </w:r>
    </w:p>
    <w:p>
      <w:pPr>
        <w:spacing w:after="0" w:line="120" w:lineRule="auto"/>
      </w:pPr>
    </w:p>
    <w:p>
      <w:r>
        <w:rPr>
          <w:b/>
        </w:rPr>
        <w:t xml:space="preserve">Grant:</w:t>
      </w:r>
      <w:r>
        <w:t xml:space="preserve"> The Company shall issue 200,000 shares of Common Stock (2.0% of</w:t>
      </w:r>
    </w:p>
    <w:p>
      <w:r>
        <w:t xml:space="preserve">the pre-SAFE capitalization) to the Company's two advisors as follows:</w:t>
      </w:r>
    </w:p>
    <w:p>
      <w:pPr>
        <w:pStyle w:val="ListBullet"/>
      </w:pPr>
      <w:r>
        <w:t xml:space="preserve">• </w:t>
      </w:r>
      <w:r>
        <w:t xml:space="preserve">Advisor A (Dr. Lena Choi, mapping technology): 120,000 shares</w:t>
      </w:r>
    </w:p>
    <w:p>
      <w:pPr>
        <w:pStyle w:val="ListBullet"/>
      </w:pPr>
      <w:r>
        <w:t xml:space="preserve">• </w:t>
      </w:r>
      <w:r>
        <w:t xml:space="preserve">Advisor B (James Welling, GTM strategy): 80,000 shares</w:t>
      </w:r>
    </w:p>
    <w:p>
      <w:pPr>
        <w:spacing w:after="0" w:line="120" w:lineRule="auto"/>
      </w:pPr>
    </w:p>
    <w:p>
      <w:r>
        <w:rPr>
          <w:b/>
        </w:rPr>
        <w:t xml:space="preserve">Vesting:</w:t>
      </w:r>
      <w:r>
        <w:t xml:space="preserve"> All 200,000 advisor shares shall vest immediately upon execution</w:t>
      </w:r>
    </w:p>
    <w:p>
      <w:r>
        <w:t xml:space="preserve">of the advisor agreements. No cliff, no time-based schedule. This is a</w:t>
      </w:r>
    </w:p>
    <w:p>
      <w:r>
        <w:t xml:space="preserve">departure from the standard 2-year or 4-year advisor vesting and reflects</w:t>
      </w:r>
    </w:p>
    <w:p>
      <w:r>
        <w:t xml:space="preserve">pre-closing advisory services rendered. The advisor agreements were executed</w:t>
      </w:r>
    </w:p>
    <w:p>
      <w:r>
        <w:t xml:space="preserve">concurrently with the first SAFE closing.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KEY-PERSON CLAUSE</w:t>
      </w:r>
    </w:p>
    <w:p>
      <w:pPr>
        <w:spacing w:after="0" w:line="120" w:lineRule="auto"/>
      </w:pPr>
    </w:p>
    <w:p>
      <w:r>
        <w:t xml:space="preserve">If both Co-Founders (Nadia Benamara and Tomasz Kowalski) cease to be active</w:t>
      </w:r>
    </w:p>
    <w:p>
      <w:r>
        <w:t xml:space="preserve">full-time employees of the Company for any reason (including death, disability,</w:t>
      </w:r>
    </w:p>
    <w:p>
      <w:r>
        <w:t xml:space="preserve">voluntary departure, or termination for cause) within 36 months of the first</w:t>
      </w:r>
    </w:p>
    <w:p>
      <w:r>
        <w:t xml:space="preserve">SAFE closing, the holders of at least 60% of the aggregate outstanding SAFE</w:t>
      </w:r>
    </w:p>
    <w:p>
      <w:r>
        <w:t xml:space="preserve">Purchase Amounts may, by written notice to the Company, require the Company to</w:t>
      </w:r>
    </w:p>
    <w:p>
      <w:r>
        <w:t xml:space="preserve">undertake one of the following:</w:t>
      </w:r>
    </w:p>
    <w:p>
      <w:pPr>
        <w:spacing w:after="0" w:line="120" w:lineRule="auto"/>
      </w:pPr>
    </w:p>
    <w:p>
      <w:pPr>
        <w:pStyle w:val="ListBullet"/>
      </w:pPr>
      <w:r>
        <w:t xml:space="preserve">1. </w:t>
      </w:r>
      <w:r>
        <w:rPr>
          <w:b/>
        </w:rPr>
        <w:t xml:space="preserve">Dissolution and distribution of remaining assets</w:t>
      </w:r>
      <w:r>
        <w:t xml:space="preserve"> to SAFE holders (senior</w:t>
      </w:r>
    </w:p>
    <w:p>
      <w:r>
        <w:t xml:space="preserve">to Common Stock) and then Common Stock holders; or</w:t>
      </w:r>
    </w:p>
    <w:p>
      <w:pPr>
        <w:pStyle w:val="ListBullet"/>
      </w:pPr>
      <w:r>
        <w:t xml:space="preserve">2. </w:t>
      </w:r>
      <w:r>
        <w:rPr>
          <w:b/>
        </w:rPr>
        <w:t xml:space="preserve">Appointment of a new CEO</w:t>
      </w:r>
      <w:r>
        <w:t xml:space="preserve"> selected by a committee of SAFE holders</w:t>
      </w:r>
    </w:p>
    <w:p>
      <w:r>
        <w:t xml:space="preserve">representing at least 50% of outstanding Purchase Amounts, with such CEO</w:t>
      </w:r>
    </w:p>
    <w:p>
      <w:r>
        <w:t xml:space="preserve">to have the authority to manage the Company's affairs pending a Board</w:t>
      </w:r>
    </w:p>
    <w:p>
      <w:r>
        <w:t xml:space="preserve">determination on the Company's future.</w:t>
      </w:r>
    </w:p>
    <w:p>
      <w:pPr>
        <w:spacing w:after="0" w:line="120" w:lineRule="auto"/>
      </w:pPr>
    </w:p>
    <w:p>
      <w:r>
        <w:t xml:space="preserve">If only one founder departs, no key-person rights are triggered, but the</w:t>
      </w:r>
    </w:p>
    <w:p>
      <w:r>
        <w:t xml:space="preserve">remaining founder must notify all SAFE holders within 5 business days and</w:t>
      </w:r>
    </w:p>
    <w:p>
      <w:r>
        <w:t xml:space="preserve">provide a written plan for the Company's continued operations within 30 days.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AMENDMENT AND WAIVER</w:t>
      </w:r>
    </w:p>
    <w:p>
      <w:pPr>
        <w:spacing w:after="0" w:line="120" w:lineRule="auto"/>
      </w:pPr>
    </w:p>
    <w:p>
      <w:r>
        <w:t xml:space="preserve">Any amendment, modification, or waiver of the SAFEs requires the written consent</w:t>
      </w:r>
    </w:p>
    <w:p>
      <w:r>
        <w:t xml:space="preserve">of the Company and holders of at least 75% of the aggregate outstanding Purchase</w:t>
      </w:r>
    </w:p>
    <w:p>
      <w:r>
        <w:t xml:space="preserve">Amounts. This is a supermajority threshold; the standard YC SAFE uses simple</w:t>
      </w:r>
    </w:p>
    <w:p>
      <w:r>
        <w:t xml:space="preserve">majority of Purchase Amounts.</w:t>
      </w:r>
    </w:p>
    <w:p>
      <w:pPr>
        <w:spacing w:after="0" w:line="120" w:lineRule="auto"/>
      </w:pPr>
    </w:p>
    <w:p>
      <w:r>
        <w:t xml:space="preserve">Notwithstanding the above, the following terms may not be amended without the</w:t>
      </w:r>
    </w:p>
    <w:p>
      <w:r>
        <w:t xml:space="preserve">unanimous consent of all SAFE holders:</w:t>
      </w:r>
    </w:p>
    <w:p>
      <w:pPr>
        <w:pStyle w:val="ListBullet"/>
      </w:pPr>
      <w:r>
        <w:t xml:space="preserve">• </w:t>
      </w:r>
      <w:r>
        <w:t xml:space="preserve">The Post-Money Valuation Cap</w:t>
      </w:r>
    </w:p>
    <w:p>
      <w:pPr>
        <w:pStyle w:val="ListBullet"/>
      </w:pPr>
      <w:r>
        <w:t xml:space="preserve">• </w:t>
      </w:r>
      <w:r>
        <w:t xml:space="preserve">The Liquidity Event payout priority</w:t>
      </w:r>
    </w:p>
    <w:p>
      <w:pPr>
        <w:pStyle w:val="ListBullet"/>
      </w:pPr>
      <w:r>
        <w:t xml:space="preserve">• </w:t>
      </w:r>
      <w:r>
        <w:t xml:space="preserve">This amendment threshold itself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GEOGRAPHIC RESTRICTION</w:t>
      </w:r>
    </w:p>
    <w:p>
      <w:pPr>
        <w:spacing w:after="0" w:line="120" w:lineRule="auto"/>
      </w:pPr>
    </w:p>
    <w:p>
      <w:r>
        <w:t xml:space="preserve">Each founder agrees that for a period of 5 years from the initial SAFE closing,</w:t>
      </w:r>
    </w:p>
    <w:p>
      <w:r>
        <w:t xml:space="preserve">the Company shall maintain its primary operations, engineering team, and</w:t>
      </w:r>
    </w:p>
    <w:p>
      <w:r>
        <w:t xml:space="preserve">headquarters within the San Francisco Bay Area (defined as the counties of</w:t>
      </w:r>
    </w:p>
    <w:p>
      <w:r>
        <w:t xml:space="preserve">San Francisco, San Mateo, Santa Clara, Alameda, and Contra Costa). Relocating</w:t>
      </w:r>
    </w:p>
    <w:p>
      <w:r>
        <w:t xml:space="preserve">the Company's headquarters or more than 50% of its engineering team outside the</w:t>
      </w:r>
    </w:p>
    <w:p>
      <w:r>
        <w:t xml:space="preserve">Bay Area requires the prior written consent of holders of at least 60% of the</w:t>
      </w:r>
    </w:p>
    <w:p>
      <w:r>
        <w:t xml:space="preserve">aggregate outstanding SAFE Purchase Amounts.</w:t>
      </w:r>
    </w:p>
    <w:p>
      <w:pPr>
        <w:spacing w:after="0" w:line="120" w:lineRule="auto"/>
      </w:pPr>
    </w:p>
    <w:p>
      <w:r>
        <w:t xml:space="preserve">This restriction reflects investor concern regarding talent density, proximity</w:t>
      </w:r>
    </w:p>
    <w:p>
      <w:r>
        <w:t xml:space="preserve">to key customers, and the Company's competitive positioning in the geospatial</w:t>
      </w:r>
    </w:p>
    <w:p>
      <w:r>
        <w:t xml:space="preserve">mapping market.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INFORMATION RIGHTS</w:t>
      </w:r>
    </w:p>
    <w:p>
      <w:pPr>
        <w:spacing w:after="0" w:line="120" w:lineRule="auto"/>
      </w:pPr>
    </w:p>
    <w:p>
      <w:r>
        <w:rPr>
          <w:b/>
        </w:rPr>
        <w:t xml:space="preserve">All Investors ($100,000+):</w:t>
      </w:r>
      <w:r>
        <w:t xml:space="preserve"> Quarterly written updates (narrative format)</w:t>
      </w:r>
    </w:p>
    <w:p>
      <w:r>
        <w:t xml:space="preserve">covering business progress, key metrics, financial summary, and material events.</w:t>
      </w:r>
    </w:p>
    <w:p>
      <w:r>
        <w:t xml:space="preserve">Due within 30 days of quarter-end.</w:t>
      </w:r>
    </w:p>
    <w:p>
      <w:pPr>
        <w:spacing w:after="0" w:line="120" w:lineRule="auto"/>
      </w:pPr>
    </w:p>
    <w:p>
      <w:r>
        <w:rPr>
          <w:b/>
        </w:rPr>
        <w:t xml:space="preserve">Lead Investor (Luna Capital):</w:t>
      </w:r>
      <w:r>
        <w:t xml:space="preserve"> Monthly financial statements (income</w:t>
      </w:r>
    </w:p>
    <w:p>
      <w:r>
        <w:t xml:space="preserve">statement, balance sheet, cash position) within 20 days of month-end. Annual</w:t>
      </w:r>
    </w:p>
    <w:p>
      <w:r>
        <w:t xml:space="preserve">operating budget at least 30 days before each fiscal year. Right to schedule a</w:t>
      </w:r>
    </w:p>
    <w:p>
      <w:r>
        <w:t xml:space="preserve">30-minute call with each founder once per quarter.</w:t>
      </w:r>
    </w:p>
    <w:p>
      <w:pPr>
        <w:spacing w:after="0" w:line="120" w:lineRule="auto"/>
      </w:pPr>
    </w:p>
    <w:p>
      <w:r>
        <w:rPr>
          <w:b/>
        </w:rPr>
        <w:t xml:space="preserve">Investors below $100,000:</w:t>
      </w:r>
      <w:r>
        <w:t xml:space="preserve"> Annual written summary only.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COMPANY CAPITALIZATION</w:t>
      </w:r>
    </w:p>
    <w:p>
      <w:pPr>
        <w:spacing w:after="0" w:line="120" w:lineRule="auto"/>
      </w:pPr>
    </w:p>
    <w:p>
      <w:r>
        <w:rPr>
          <w:b/>
        </w:rPr>
        <w:t xml:space="preserve">Pre-SAFE:</w:t>
      </w:r>
    </w:p>
    <w:p>
      <w:pPr>
        <w:pStyle w:val="ListBullet"/>
      </w:pPr>
      <w:r>
        <w:t xml:space="preserve">• </w:t>
      </w:r>
      <w:r>
        <w:t xml:space="preserve">Founders (Nadia Benamara, 55%; Tomasz Kowalski, 40%): 9,500,000 shares</w:t>
      </w:r>
    </w:p>
    <w:p>
      <w:pPr>
        <w:pStyle w:val="ListBullet"/>
      </w:pPr>
      <w:r>
        <w:t xml:space="preserve">• </w:t>
      </w:r>
      <w:r>
        <w:t xml:space="preserve">Advisor Shares (Dr. Lena Choi, James Welling): 200,000 shares (vested</w:t>
      </w:r>
    </w:p>
    <w:p>
      <w:r>
        <w:t xml:space="preserve">immediately as described above)</w:t>
      </w:r>
    </w:p>
    <w:p>
      <w:pPr>
        <w:pStyle w:val="ListBullet"/>
      </w:pPr>
      <w:r>
        <w:t xml:space="preserve">• </w:t>
      </w:r>
      <w:r>
        <w:t xml:space="preserve">Unallocated Option Pool: 300,000 shares (3.0%)</w:t>
      </w:r>
    </w:p>
    <w:p>
      <w:pPr>
        <w:pStyle w:val="ListBullet"/>
      </w:pPr>
      <w:r>
        <w:t xml:space="preserve">• </w:t>
      </w:r>
      <w:r>
        <w:t xml:space="preserve">Total: 10,000,000 shares</w:t>
      </w:r>
    </w:p>
    <w:p>
      <w:pPr>
        <w:spacing w:after="0" w:line="120" w:lineRule="auto"/>
      </w:pPr>
    </w:p>
    <w:p>
      <w:r>
        <w:rPr>
          <w:b/>
        </w:rPr>
        <w:t xml:space="preserve">Post-SAFE (before Equity Financing conversion):</w:t>
      </w:r>
    </w:p>
    <w:p>
      <w:pPr>
        <w:pStyle w:val="ListBullet"/>
      </w:pPr>
      <w:r>
        <w:t xml:space="preserve">• </w:t>
      </w:r>
      <w:r>
        <w:t xml:space="preserve">SAFE holders represent 18.75% of post-money capitalization</w:t>
      </w:r>
    </w:p>
    <w:p>
      <w:pPr>
        <w:pStyle w:val="ListBullet"/>
      </w:pPr>
      <w:r>
        <w:t xml:space="preserve">• </w:t>
      </w:r>
      <w:r>
        <w:t xml:space="preserve">Common Stock holders represent 81.25%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Standard 4-year monthly vesting with 1-year cliff from</w:t>
      </w:r>
    </w:p>
    <w:p>
      <w:r>
        <w:t xml:space="preserve">incorporation (March 2025). 5 months of credit at closing.</w:t>
      </w:r>
    </w:p>
    <w:p>
      <w:pPr>
        <w:spacing w:after="0" w:line="120" w:lineRule="auto"/>
      </w:pPr>
    </w:p>
    <w:p>
      <w:r>
        <w:rPr>
          <w:b/>
        </w:rPr>
        <w:t xml:space="preserve">Option Pool:</w:t>
      </w:r>
      <w:r>
        <w:t xml:space="preserve"> The Company plans to expand the unallocated option pool to 10%</w:t>
      </w:r>
    </w:p>
    <w:p>
      <w:r>
        <w:t xml:space="preserve">post-Equity Financing, with the increase coming from pre-money. No expansion</w:t>
      </w:r>
    </w:p>
    <w:p>
      <w:r>
        <w:t xml:space="preserve">is required at this time.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and contractors to sign CIIAs</w:t>
      </w:r>
    </w:p>
    <w:p>
      <w:pPr>
        <w:pStyle w:val="ListBullet"/>
      </w:pPr>
      <w:r>
        <w:t xml:space="preserve">• </w:t>
      </w:r>
      <w:r>
        <w:t xml:space="preserve">Standard 90-day post-termination exercise period</w:t>
      </w:r>
    </w:p>
    <w:p>
      <w:pPr>
        <w:pStyle w:val="ListBullet"/>
      </w:pPr>
      <w:r>
        <w:t xml:space="preserve">• </w:t>
      </w:r>
      <w:r>
        <w:t xml:space="preserve">No early exercise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pays Luna Capital's legal fees up to $7,500.</w:t>
      </w:r>
    </w:p>
    <w:p>
      <w:pPr>
        <w:spacing w:after="0" w:line="120" w:lineRule="auto"/>
      </w:pPr>
    </w:p>
    <w:p>
      <w:r>
        <w:rPr>
          <w:b/>
        </w:rPr>
        <w:t xml:space="preserve">Governing Law:</w:t>
      </w:r>
      <w:r>
        <w:t xml:space="preserve"> State of Delaware.</w:t>
      </w:r>
    </w:p>
    <w:p>
      <w:pPr>
        <w:spacing w:after="0" w:line="120" w:lineRule="auto"/>
      </w:pPr>
    </w:p>
    <w:p>
      <w:r>
        <w:rPr>
          <w:b/>
        </w:rPr>
        <w:t xml:space="preserve">No-Shop:</w:t>
      </w:r>
      <w:r>
        <w:t xml:space="preserve"> None. Company may continue to accept additional SAFE investments</w:t>
      </w:r>
    </w:p>
    <w:p>
      <w:r>
        <w:t xml:space="preserve">on identical terms for 90 days following the initial closing.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Carto Labs,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Nadia Benamara, CEO &amp; Co-Founder</w:t>
      </w:r>
    </w:p>
    <w:p>
      <w:r>
        <w:t xml:space="preserve">Date: August __, 2025</w:t>
      </w:r>
    </w:p>
    <w:p>
      <w:pPr>
        <w:spacing w:after="0" w:line="120" w:lineRule="auto"/>
      </w:pPr>
    </w:p>
    <w:p>
      <w:r>
        <w:t xml:space="preserve">Luna Capital LLC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Grace Tanaka, Managing Member</w:t>
      </w:r>
    </w:p>
    <w:p>
      <w:r>
        <w:t xml:space="preserve">Date: August __, 2025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