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Series A Preferred Stock Financing of DataSync AI,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January 15, 2026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summarizes the principal terms of the Series A Preferred Stock</w:t>
      </w:r>
    </w:p>
    <w:p>
      <w:r>
        <w:t xml:space="preserve">Financing of DataSync AI, Inc. (the "Company"). This term sheet is for discussion</w:t>
      </w:r>
    </w:p>
    <w:p>
      <w:r>
        <w:t xml:space="preserve">purposes only and is not binding on the parties except for the provisions relating</w:t>
      </w:r>
    </w:p>
    <w:p>
      <w:r>
        <w:t xml:space="preserve">to confidentiality, exclusivity, and legal fees.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Series A Preferred Stock (the "Series A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On or before February 28, 2026</w:t>
      </w:r>
    </w:p>
    <w:p>
      <w:pPr>
        <w:spacing w:after="0" w:line="120" w:lineRule="auto"/>
      </w:pPr>
    </w:p>
    <w:p>
      <w:r>
        <w:rPr>
          <w:b/>
        </w:rPr>
        <w:t xml:space="preserve">Amount Raised:</w:t>
      </w:r>
      <w:r>
        <w:t xml:space="preserve"> $15,000,000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$60,000,000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$4.80 per share (based on 12,500,000 fully diluted shares</w:t>
      </w:r>
    </w:p>
    <w:p>
      <w:r>
        <w:t xml:space="preserve">outstanding pre-money)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Acme Ventures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2,083,333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TechFund Capital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625,000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Angel Syndicate (various)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416,667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**$15,000,000**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**3,125,000**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Post-Money Valuation:</w:t>
      </w:r>
      <w:r>
        <w:t xml:space="preserve"> $75,000,000</w:t>
      </w:r>
    </w:p>
    <w:p>
      <w:pPr>
        <w:spacing w:after="0" w:line="120" w:lineRule="auto"/>
      </w:pPr>
    </w:p>
    <w:p>
      <w:r>
        <w:rPr>
          <w:b/>
        </w:rPr>
        <w:t xml:space="preserve">Capitalization Pre-Financing:</w:t>
      </w:r>
    </w:p>
    <w:p>
      <w:pPr>
        <w:pStyle w:val="ListBullet"/>
      </w:pPr>
      <w:r>
        <w:t xml:space="preserve">• </w:t>
      </w:r>
      <w:r>
        <w:t xml:space="preserve">Founders' Common Stock: 8,000,000 shares (64%)</w:t>
      </w:r>
    </w:p>
    <w:p>
      <w:pPr>
        <w:pStyle w:val="ListBullet"/>
      </w:pPr>
      <w:r>
        <w:t xml:space="preserve">• </w:t>
      </w:r>
      <w:r>
        <w:t xml:space="preserve">Employee Option Pool (existing): 1,500,000 shares (12%)</w:t>
      </w:r>
    </w:p>
    <w:p>
      <w:pPr>
        <w:pStyle w:val="ListBullet"/>
      </w:pPr>
      <w:r>
        <w:t xml:space="preserve">• </w:t>
      </w:r>
      <w:r>
        <w:t xml:space="preserve">SAFE Holders (converting): 1,800,000 shares (14.4%)</w:t>
      </w:r>
    </w:p>
    <w:p>
      <w:pPr>
        <w:pStyle w:val="ListBullet"/>
      </w:pPr>
      <w:r>
        <w:t xml:space="preserve">• </w:t>
      </w:r>
      <w:r>
        <w:t xml:space="preserve">Unallocated Option Pool: 1,200,000 shares (9.6%)</w:t>
      </w:r>
    </w:p>
    <w:p>
      <w:pPr>
        <w:spacing w:after="0" w:line="120" w:lineRule="auto"/>
      </w:pPr>
    </w:p>
    <w:p>
      <w:r>
        <w:rPr>
          <w:b/>
        </w:rPr>
        <w:t xml:space="preserve">Option Pool Expansion:</w:t>
      </w:r>
      <w:r>
        <w:t xml:space="preserve"> The Company's option pool shall be increased to 15%</w:t>
      </w:r>
    </w:p>
    <w:p>
      <w:r>
        <w:t xml:space="preserve">of the post-financing fully diluted capitalization (from the current 9.6%),</w:t>
      </w:r>
    </w:p>
    <w:p>
      <w:r>
        <w:t xml:space="preserve">with the increase coming from the pre-money valuation.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Non-cumulative dividends of 8% per annum, payable when and if</w:t>
      </w:r>
    </w:p>
    <w:p>
      <w:r>
        <w:t xml:space="preserve">declared by the Board. Participation with Common Stock on an as-converted basis.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1.0x non-participating preferred. In the event of any</w:t>
      </w:r>
    </w:p>
    <w:p>
      <w:r>
        <w:t xml:space="preserve">liquidation, dissolution or winding up of the Company, the holders of Series A</w:t>
      </w:r>
    </w:p>
    <w:p>
      <w:r>
        <w:t xml:space="preserve">Preferred shall be entitled to receive, prior to any distribution to the holders</w:t>
      </w:r>
    </w:p>
    <w:p>
      <w:r>
        <w:t xml:space="preserve">of Common Stock, an amount equal to the greater of (i) the Original Purchase</w:t>
      </w:r>
    </w:p>
    <w:p>
      <w:r>
        <w:t xml:space="preserve">Price plus declared but unpaid dividends, or (ii) the amount such holder would</w:t>
      </w:r>
    </w:p>
    <w:p>
      <w:r>
        <w:t xml:space="preserve">receive on an as-converted basis.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Each share of Series A Preferred shall be convertible, at the</w:t>
      </w:r>
    </w:p>
    <w:p>
      <w:r>
        <w:t xml:space="preserve">option of the holder, at any time, into shares of Common Stock. The initial</w:t>
      </w:r>
    </w:p>
    <w:p>
      <w:r>
        <w:t xml:space="preserve">conversion rate shall be 1:1, subject to customary anti-dilution adjustments.</w:t>
      </w:r>
    </w:p>
    <w:p>
      <w:pPr>
        <w:spacing w:after="0" w:line="120" w:lineRule="auto"/>
      </w:pPr>
    </w:p>
    <w:p>
      <w:r>
        <w:rPr>
          <w:b/>
        </w:rPr>
        <w:t xml:space="preserve">Anti-Dilution:</w:t>
      </w:r>
      <w:r>
        <w:t xml:space="preserve"> Broad-based weighted average anti-dilution protection.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Each share of Series A Preferred shall automatically</w:t>
      </w:r>
    </w:p>
    <w:p>
      <w:r>
        <w:t xml:space="preserve">convert into Common Stock upon (i) the closing of a firmly underwritten public</w:t>
      </w:r>
    </w:p>
    <w:p>
      <w:r>
        <w:t xml:space="preserve">offering with gross proceeds of at least $50,000,000 (a "Qualified IPO"), or</w:t>
      </w:r>
    </w:p>
    <w:p>
      <w:r>
        <w:t xml:space="preserve">(ii) the vote of holders of a majority of the then-outstanding shares of</w:t>
      </w:r>
    </w:p>
    <w:p>
      <w:r>
        <w:t xml:space="preserve">Series A Preferred.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The Series A Preferred shall vote together with the Common</w:t>
      </w:r>
    </w:p>
    <w:p>
      <w:r>
        <w:t xml:space="preserve">Stock on an as-converted basis on all matters. Protective provisions requiring</w:t>
      </w:r>
    </w:p>
    <w:p>
      <w:r>
        <w:t xml:space="preserve">the consent of holders of a majority of the Series A Preferred include:</w:t>
      </w:r>
    </w:p>
    <w:p>
      <w:pPr>
        <w:spacing w:after="0" w:line="120" w:lineRule="auto"/>
      </w:pPr>
    </w:p>
    <w:p>
      <w:pPr>
        <w:pStyle w:val="ListBullet"/>
      </w:pPr>
      <w:r>
        <w:t xml:space="preserve">1. </w:t>
      </w:r>
      <w:r>
        <w:t xml:space="preserve">Any amendment to the Certificate of Incorporation that adversely affects</w:t>
      </w:r>
    </w:p>
    <w:p>
      <w:r>
        <w:t xml:space="preserve">the Series A Preferred</w:t>
      </w:r>
    </w:p>
    <w:p>
      <w:pPr>
        <w:pStyle w:val="ListBullet"/>
      </w:pPr>
      <w:r>
        <w:t xml:space="preserve">2. </w:t>
      </w:r>
      <w:r>
        <w:t xml:space="preserve">Creation of any new class of shares senior to or on parity with Series A</w:t>
      </w:r>
    </w:p>
    <w:p>
      <w:pPr>
        <w:pStyle w:val="ListBullet"/>
      </w:pPr>
      <w:r>
        <w:t xml:space="preserve">3. </w:t>
      </w:r>
      <w:r>
        <w:t xml:space="preserve">Any merger, sale, or change of control transaction</w:t>
      </w:r>
    </w:p>
    <w:p>
      <w:pPr>
        <w:pStyle w:val="ListBullet"/>
      </w:pPr>
      <w:r>
        <w:t xml:space="preserve">4. </w:t>
      </w:r>
      <w:r>
        <w:t xml:space="preserve">Redemption or repurchase of Common Stock (except for repurchases from</w:t>
      </w:r>
    </w:p>
    <w:p>
      <w:r>
        <w:t xml:space="preserve">employees at cost upon termination)</w:t>
      </w:r>
    </w:p>
    <w:p>
      <w:pPr>
        <w:pStyle w:val="ListBullet"/>
      </w:pPr>
      <w:r>
        <w:t xml:space="preserve">5. </w:t>
      </w:r>
      <w:r>
        <w:t xml:space="preserve">Declaration or payment of any dividend</w:t>
      </w:r>
    </w:p>
    <w:p>
      <w:pPr>
        <w:pStyle w:val="ListBullet"/>
      </w:pPr>
      <w:r>
        <w:t xml:space="preserve">6. </w:t>
      </w:r>
      <w:r>
        <w:t xml:space="preserve">Increase or decrease in the authorized number of shares</w:t>
      </w:r>
    </w:p>
    <w:p>
      <w:pPr>
        <w:pStyle w:val="ListBullet"/>
      </w:pPr>
      <w:r>
        <w:t xml:space="preserve">7. </w:t>
      </w:r>
      <w:r>
        <w:t xml:space="preserve">Incurrence of indebtedness exceeding $500,000</w:t>
      </w:r>
    </w:p>
    <w:p>
      <w:pPr>
        <w:pStyle w:val="ListBullet"/>
      </w:pPr>
      <w:r>
        <w:t xml:space="preserve">8. </w:t>
      </w:r>
      <w:r>
        <w:t xml:space="preserve">Any transaction with a founder, officer, or affiliate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Board of Directors:</w:t>
      </w:r>
      <w:r>
        <w:t xml:space="preserve"> The Board shall consist of five (5) members:</w:t>
      </w:r>
    </w:p>
    <w:p>
      <w:pPr>
        <w:pStyle w:val="ListBullet"/>
      </w:pPr>
      <w:r>
        <w:t xml:space="preserve">• </w:t>
      </w:r>
      <w:r>
        <w:t xml:space="preserve">Two (2) designated by Acme Ventures</w:t>
      </w:r>
    </w:p>
    <w:p>
      <w:pPr>
        <w:pStyle w:val="ListBullet"/>
      </w:pPr>
      <w:r>
        <w:t xml:space="preserve">• </w:t>
      </w:r>
      <w:r>
        <w:t xml:space="preserve">Two (2) designated by the Common Stock holders (initially the CEO and one founder)</w:t>
      </w:r>
    </w:p>
    <w:p>
      <w:pPr>
        <w:pStyle w:val="ListBullet"/>
      </w:pPr>
      <w:r>
        <w:t xml:space="preserve">• </w:t>
      </w:r>
      <w:r>
        <w:t xml:space="preserve">One (1) independent member mutually agreed upon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Standard quarterly financial statements, annual audited</w:t>
      </w:r>
    </w:p>
    <w:p>
      <w:r>
        <w:t xml:space="preserve">financials, and annual operating budget. Monthly financial reports to investors</w:t>
      </w:r>
    </w:p>
    <w:p>
      <w:r>
        <w:t xml:space="preserve">holding at least 1,000,000 shares.</w:t>
      </w:r>
    </w:p>
    <w:p>
      <w:pPr>
        <w:spacing w:after="0" w:line="120" w:lineRule="auto"/>
      </w:pPr>
    </w:p>
    <w:p>
      <w:r>
        <w:rPr>
          <w:b/>
        </w:rPr>
        <w:t xml:space="preserve">Participation Rights (Pro-Rata):</w:t>
      </w:r>
      <w:r>
        <w:t xml:space="preserve"> Each Major Investor (holding at least</w:t>
      </w:r>
    </w:p>
    <w:p>
      <w:r>
        <w:t xml:space="preserve">500,000 shares of Series A Preferred) shall have the right to purchase its</w:t>
      </w:r>
    </w:p>
    <w:p>
      <w:r>
        <w:t xml:space="preserve">pro rata share of any future issuance of equity securities.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Standard S-3 registration rights, beginning 180 days</w:t>
      </w:r>
    </w:p>
    <w:p>
      <w:r>
        <w:t xml:space="preserve">after IPO. Two demand registrations. Unlimited piggyback registration rights.</w:t>
      </w:r>
    </w:p>
    <w:p>
      <w:r>
        <w:t xml:space="preserve">Company to bear all registration expenses (excluding underwriting discounts</w:t>
      </w:r>
    </w:p>
    <w:p>
      <w:r>
        <w:t xml:space="preserve">and commissions).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and then investors shall have a</w:t>
      </w:r>
    </w:p>
    <w:p>
      <w:r>
        <w:t xml:space="preserve">right of first refusal on founder shares. Investors shall have co-sale rights</w:t>
      </w:r>
    </w:p>
    <w:p>
      <w:r>
        <w:t xml:space="preserve">with founders.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Holders of a majority of Common Stock (including as-converted</w:t>
      </w:r>
    </w:p>
    <w:p>
      <w:r>
        <w:t xml:space="preserve">Preferred), voting together, may require all stockholders to approve a sale of</w:t>
      </w:r>
    </w:p>
    <w:p>
      <w:r>
        <w:t xml:space="preserve">the Company, provided the transaction values the Company at no less than 3x the</w:t>
      </w:r>
    </w:p>
    <w:p>
      <w:r>
        <w:t xml:space="preserve">aggregate Original Purchase Price.</w:t>
      </w:r>
    </w:p>
    <w:p>
      <w:pPr>
        <w:spacing w:after="0" w:line="120" w:lineRule="auto"/>
      </w:pPr>
    </w:p>
    <w:p>
      <w:r>
        <w:rPr>
          <w:b/>
        </w:rPr>
        <w:t xml:space="preserve">No-Shop / Exclusivity:</w:t>
      </w:r>
      <w:r>
        <w:t xml:space="preserve"> The Company agrees not to solicit, initiate, or</w:t>
      </w:r>
    </w:p>
    <w:p>
      <w:r>
        <w:t xml:space="preserve">encourage any competing financing proposals for a period of 45 days from the</w:t>
      </w:r>
    </w:p>
    <w:p>
      <w:r>
        <w:t xml:space="preserve">date of this Term Sheet.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to sign standard CIIA agreements</w:t>
      </w:r>
    </w:p>
    <w:p>
      <w:pPr>
        <w:pStyle w:val="ListBullet"/>
      </w:pPr>
      <w:r>
        <w:t xml:space="preserve">• </w:t>
      </w:r>
      <w:r>
        <w:t xml:space="preserve">Founder vesting: 4-year vesting with 1-year cliff, single-trigger acceleration</w:t>
      </w:r>
    </w:p>
    <w:p>
      <w:r>
        <w:t xml:space="preserve">of 25% upon change of control, double-trigger acceleration of 100%</w:t>
      </w:r>
    </w:p>
    <w:p>
      <w:pPr>
        <w:pStyle w:val="ListBullet"/>
      </w:pPr>
      <w:r>
        <w:t xml:space="preserve">• </w:t>
      </w:r>
      <w:r>
        <w:t xml:space="preserve">Standard 90-day post-termination exercise period for options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to pay reasonable legal fees of lead investor, capped at</w:t>
      </w:r>
    </w:p>
    <w:p>
      <w:r>
        <w:t xml:space="preserve">$40,000.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Satisfactory completion of due diligence</w:t>
      </w:r>
    </w:p>
    <w:p>
      <w:pPr>
        <w:pStyle w:val="ListBullet"/>
      </w:pPr>
      <w:r>
        <w:t xml:space="preserve">• </w:t>
      </w:r>
      <w:r>
        <w:t xml:space="preserve">Approval of definitive documents</w:t>
      </w:r>
    </w:p>
    <w:p>
      <w:pPr>
        <w:pStyle w:val="ListBullet"/>
      </w:pPr>
      <w:r>
        <w:t xml:space="preserve">• </w:t>
      </w:r>
      <w:r>
        <w:t xml:space="preserve">Key person insurance on CEO ($3,000,000)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b/>
        </w:rPr>
        <w:t xml:space="preserve">NON-STANDARD PROVISIONS (for analysis purposes):</w:t>
      </w:r>
    </w:p>
    <w:p>
      <w:pPr>
        <w:pStyle w:val="ListBullet"/>
      </w:pPr>
      <w:r>
        <w:t xml:space="preserve">• </w:t>
      </w:r>
      <w:r>
        <w:t xml:space="preserve">Founder single-trigger acceleration of 25% is non-standard (typically only double-trigger)</w:t>
      </w:r>
    </w:p>
    <w:p>
      <w:pPr>
        <w:pStyle w:val="ListBullet"/>
      </w:pPr>
      <w:r>
        <w:t xml:space="preserve">• </w:t>
      </w:r>
      <w:r>
        <w:t xml:space="preserve">8% non-cumulative dividends (slightly above standard 6%)</w:t>
      </w:r>
    </w:p>
    <w:p>
      <w:pPr>
        <w:pStyle w:val="ListBullet"/>
      </w:pPr>
      <w:r>
        <w:t xml:space="preserve">• </w:t>
      </w:r>
      <w:r>
        <w:t xml:space="preserve">3x drag-along threshold (standard is typically 2x or simple majority)</w:t>
      </w:r>
    </w:p>
    <w:p>
      <w:pPr>
        <w:pStyle w:val="ListBullet"/>
      </w:pPr>
      <w:r>
        <w:t xml:space="preserve">• </w:t>
      </w:r>
      <w:r>
        <w:t xml:space="preserve">$500K debt cap is restrictive (standard is often $1M+)</w:t>
      </w:r>
    </w:p>
    <w:p>
      <w:pPr>
        <w:pStyle w:val="ListBullet"/>
      </w:pPr>
      <w:r>
        <w:t xml:space="preserve">• </w:t>
      </w:r>
      <w:r>
        <w:t xml:space="preserve">Two board seats for lead investor in a 5-seat board gives significant control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