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TERM SHEET</w:t>
      </w:r>
    </w:p>
    <w:p>
      <w:pPr>
        <w:pStyle w:val="Heading2"/>
      </w:pPr>
      <w:r>
        <w:t xml:space="preserve">Series A Preferred Stock Financing of FarmOS Technologies, Inc.</w:t>
      </w:r>
    </w:p>
    <w:p>
      <w:pPr>
        <w:spacing w:after="0" w:line="120" w:lineRule="auto"/>
      </w:pPr>
    </w:p>
    <w:p>
      <w:r>
        <w:rPr>
          <w:b/>
        </w:rPr>
        <w:t xml:space="preserve">Date:</w:t>
      </w:r>
      <w:r>
        <w:t xml:space="preserve"> April 28, 2025</w:t>
      </w:r>
    </w:p>
    <w:p>
      <w:r>
        <w:rPr>
          <w:b/>
        </w:rPr>
        <w:t xml:space="preserve">Confidential</w:t>
      </w:r>
    </w:p>
    <w:p>
      <w:pPr>
        <w:spacing w:after="0" w:line="120" w:lineRule="auto"/>
      </w:pPr>
    </w:p>
    <w:p>
      <w:r>
        <w:t xml:space="preserve">This Term Sheet summarizes the principal terms of the proposed Series A Preferred</w:t>
      </w:r>
    </w:p>
    <w:p>
      <w:r>
        <w:t xml:space="preserve">Stock Financing of FarmOS Technologies, Inc., a Delaware corporation (the</w:t>
      </w:r>
    </w:p>
    <w:p>
      <w:r>
        <w:t xml:space="preserve">"Company"). Except for "No-Shop," "Confidentiality," "Expenses," and "Exclusive</w:t>
      </w:r>
    </w:p>
    <w:p>
      <w:r>
        <w:t xml:space="preserve">Partnership," this term sheet is non-binding.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OFFERING TERMS</w:t>
      </w:r>
    </w:p>
    <w:p>
      <w:pPr>
        <w:spacing w:after="0" w:line="120" w:lineRule="auto"/>
      </w:pPr>
    </w:p>
    <w:p>
      <w:r>
        <w:rPr>
          <w:b/>
        </w:rPr>
        <w:t xml:space="preserve">Security:</w:t>
      </w:r>
      <w:r>
        <w:t xml:space="preserve"> Series A Preferred Stock (the "Series A Preferred")</w:t>
      </w:r>
    </w:p>
    <w:p>
      <w:pPr>
        <w:spacing w:after="0" w:line="120" w:lineRule="auto"/>
      </w:pPr>
    </w:p>
    <w:p>
      <w:r>
        <w:rPr>
          <w:b/>
        </w:rPr>
        <w:t xml:space="preserve">Closing Date:</w:t>
      </w:r>
      <w:r>
        <w:t xml:space="preserve"> Initial closing on or before June 15, 2025. Second tranche</w:t>
      </w:r>
    </w:p>
    <w:p>
      <w:r>
        <w:t xml:space="preserve">closing contingent on milestones described below.</w:t>
      </w:r>
    </w:p>
    <w:p>
      <w:pPr>
        <w:spacing w:after="0" w:line="120" w:lineRule="auto"/>
      </w:pPr>
    </w:p>
    <w:p>
      <w:r>
        <w:rPr>
          <w:b/>
        </w:rPr>
        <w:t xml:space="preserve">Total Amount:</w:t>
      </w:r>
      <w:r>
        <w:t xml:space="preserve"> Up to $10,000,000, in two tranches</w:t>
      </w:r>
    </w:p>
    <w:p>
      <w:pPr>
        <w:spacing w:after="0" w:line="120" w:lineRule="auto"/>
      </w:pPr>
    </w:p>
    <w:p>
      <w:r>
        <w:rPr>
          <w:b/>
        </w:rPr>
        <w:t xml:space="preserve">Tranche 1 (at Initial Closing):</w:t>
      </w:r>
      <w:r>
        <w:t xml:space="preserve"> $6,000,000</w:t>
      </w:r>
    </w:p>
    <w:p>
      <w:r>
        <w:rPr>
          <w:b/>
        </w:rPr>
        <w:t xml:space="preserve">Tranche 2 (Milestone-Based):</w:t>
      </w:r>
      <w:r>
        <w:t xml:space="preserve"> $4,000,000, funded upon achievement of the</w:t>
      </w:r>
    </w:p>
    <w:p>
      <w:r>
        <w:t xml:space="preserve">Farm Client Milestone (defined below)</w:t>
      </w:r>
    </w:p>
    <w:p>
      <w:pPr>
        <w:spacing w:after="0" w:line="120" w:lineRule="auto"/>
      </w:pPr>
    </w:p>
    <w:p>
      <w:r>
        <w:rPr>
          <w:b/>
        </w:rPr>
        <w:t xml:space="preserve">Pre-Money Valuation:</w:t>
      </w:r>
      <w:r>
        <w:t xml:space="preserve"> $40,000,000 on a fully diluted basis (for both tranches)</w:t>
      </w:r>
    </w:p>
    <w:p>
      <w:pPr>
        <w:spacing w:after="0" w:line="120" w:lineRule="auto"/>
      </w:pPr>
    </w:p>
    <w:p>
      <w:r>
        <w:rPr>
          <w:b/>
        </w:rPr>
        <w:t xml:space="preserve">Price Per Share:</w:t>
      </w:r>
      <w:r>
        <w:t xml:space="preserve"> $2.50 per share (based on 16,000,000 fully diluted shares</w:t>
      </w:r>
    </w:p>
    <w:p>
      <w:r>
        <w:t xml:space="preserve">pre-money)</w:t>
      </w:r>
    </w:p>
    <w:p>
      <w:pPr>
        <w:spacing w:after="0" w:line="120" w:lineRule="auto"/>
      </w:pPr>
    </w:p>
    <w:p>
      <w:r>
        <w:rPr>
          <w:b/>
        </w:rPr>
        <w:t xml:space="preserve">Post-Money Valuation (if fully funded):</w:t>
      </w:r>
      <w:r>
        <w:t xml:space="preserve"> $50,000,000</w:t>
      </w:r>
    </w:p>
    <w:p>
      <w:pPr>
        <w:spacing w:after="0" w:line="120" w:lineRule="auto"/>
      </w:pPr>
    </w:p>
    <w:p>
      <w:r>
        <w:rPr>
          <w:b/>
        </w:rPr>
        <w:t xml:space="preserve">Investors: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Investor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Tranche 1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Tranche 2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Total</w:t>
            </w:r>
          </w:p>
        </w:tc>
        <w:tc>
          <w:tcPr>
            <w:tcW w:w="18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Shares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Syngenta Ventures (Lead)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$4,500,000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$3,000,000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$7,500,000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3,000,000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Anterra Capital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$1,000,000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$1,500,000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600,000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AgFunder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$1,000,000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400,000</w:t>
            </w:r>
          </w:p>
        </w:tc>
      </w:tr>
      <w:tr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**Total**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**$6,000,000**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**$4,000,000**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**$10,000,000**</w:t>
            </w:r>
          </w:p>
        </w:tc>
        <w:tc>
          <w:tcPr>
            <w:tcW w:w="18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**4,000,000**</w:t>
            </w:r>
          </w:p>
        </w:tc>
      </w:tr>
    </w:tbl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MILESTONE-BASED TRANCHE</w:t>
      </w:r>
    </w:p>
    <w:p>
      <w:pPr>
        <w:spacing w:after="0" w:line="120" w:lineRule="auto"/>
      </w:pPr>
    </w:p>
    <w:p>
      <w:r>
        <w:rPr>
          <w:b/>
        </w:rPr>
        <w:t xml:space="preserve">Farm Client Milestone:</w:t>
      </w:r>
      <w:r>
        <w:t xml:space="preserve"> The Company shall have entered into paid subscription</w:t>
      </w:r>
    </w:p>
    <w:p>
      <w:r>
        <w:t xml:space="preserve">or license agreements with at least 250 individual farm operations (each</w:t>
      </w:r>
    </w:p>
    <w:p>
      <w:r>
        <w:t xml:space="preserve">operating a minimum of 100 acres) for the Company's precision agriculture</w:t>
      </w:r>
    </w:p>
    <w:p>
      <w:r>
        <w:t xml:space="preserve">platform, as verified by an independent audit, within 12 months of the Initial</w:t>
      </w:r>
    </w:p>
    <w:p>
      <w:r>
        <w:t xml:space="preserve">Closing.</w:t>
      </w:r>
    </w:p>
    <w:p>
      <w:pPr>
        <w:spacing w:after="0" w:line="120" w:lineRule="auto"/>
      </w:pPr>
    </w:p>
    <w:p>
      <w:r>
        <w:rPr>
          <w:b/>
        </w:rPr>
        <w:t xml:space="preserve">Milestone Verification:</w:t>
      </w:r>
      <w:r>
        <w:t xml:space="preserve"> Within 10 business days of the Company's claim of</w:t>
      </w:r>
    </w:p>
    <w:p>
      <w:r>
        <w:t xml:space="preserve">milestone achievement, Syngenta Ventures may engage an independent auditor</w:t>
      </w:r>
    </w:p>
    <w:p>
      <w:r>
        <w:t xml:space="preserve">(at Company expense, up to $25,000) to verify the client count and minimum</w:t>
      </w:r>
    </w:p>
    <w:p>
      <w:r>
        <w:t xml:space="preserve">acreage thresholds. The auditor's determination shall be final and binding.</w:t>
      </w:r>
    </w:p>
    <w:p>
      <w:pPr>
        <w:spacing w:after="0" w:line="120" w:lineRule="auto"/>
      </w:pPr>
    </w:p>
    <w:p>
      <w:r>
        <w:rPr>
          <w:b/>
        </w:rPr>
        <w:t xml:space="preserve">Failure to Achieve Milestone:</w:t>
      </w:r>
      <w:r>
        <w:t xml:space="preserve"> If the Farm Client Milestone is not achieved</w:t>
      </w:r>
    </w:p>
    <w:p>
      <w:r>
        <w:t xml:space="preserve">within 12 months, the Tranche 2 commitment shall expire unless Syngenta</w:t>
      </w:r>
    </w:p>
    <w:p>
      <w:r>
        <w:t xml:space="preserve">Ventures, in its sole discretion, elects to fund Tranche 2 in whole or in part</w:t>
      </w:r>
    </w:p>
    <w:p>
      <w:r>
        <w:t xml:space="preserve">at the original terms or at renegotiated terms.</w:t>
      </w:r>
    </w:p>
    <w:p>
      <w:pPr>
        <w:spacing w:after="0" w:line="120" w:lineRule="auto"/>
      </w:pPr>
    </w:p>
    <w:p>
      <w:r>
        <w:rPr>
          <w:b/>
        </w:rPr>
        <w:t xml:space="preserve">Anti-Dilution on Tranche 2:</w:t>
      </w:r>
      <w:r>
        <w:t xml:space="preserve"> If the Company issues equity at a price below</w:t>
      </w:r>
    </w:p>
    <w:p>
      <w:r>
        <w:t xml:space="preserve">$2.50 per share between the Initial Closing and the Tranche 2 closing, the</w:t>
      </w:r>
    </w:p>
    <w:p>
      <w:r>
        <w:t xml:space="preserve">Tranche 2 price per share shall be adjusted downward to the new issuance price</w:t>
      </w:r>
    </w:p>
    <w:p>
      <w:r>
        <w:t xml:space="preserve">(full ratchet for Tranche 2 only; Tranche 1 has broad-based weighted average).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CHARTER PROVISIONS</w:t>
      </w:r>
    </w:p>
    <w:p>
      <w:pPr>
        <w:spacing w:after="0" w:line="120" w:lineRule="auto"/>
      </w:pPr>
    </w:p>
    <w:p>
      <w:r>
        <w:rPr>
          <w:b/>
        </w:rPr>
        <w:t xml:space="preserve">Dividends:</w:t>
      </w:r>
      <w:r>
        <w:t xml:space="preserve"> Non-cumulative at 6% per annum, payable when declared by the</w:t>
      </w:r>
    </w:p>
    <w:p>
      <w:r>
        <w:t xml:space="preserve">Board. Series A participates in Common Stock dividends on an as-converted basis.</w:t>
      </w:r>
    </w:p>
    <w:p>
      <w:pPr>
        <w:spacing w:after="0" w:line="120" w:lineRule="auto"/>
      </w:pPr>
    </w:p>
    <w:p>
      <w:r>
        <w:rPr>
          <w:b/>
        </w:rPr>
        <w:t xml:space="preserve">Liquidation Preference:</w:t>
      </w:r>
      <w:r>
        <w:t xml:space="preserve"> 1.0x non-participating preferred. Holders receive</w:t>
      </w:r>
    </w:p>
    <w:p>
      <w:r>
        <w:t xml:space="preserve">the greater of (i) 1.0x Original Purchase Price plus declared unpaid dividends,</w:t>
      </w:r>
    </w:p>
    <w:p>
      <w:r>
        <w:t xml:space="preserve">or (ii) the as-converted amount.</w:t>
      </w:r>
    </w:p>
    <w:p>
      <w:pPr>
        <w:spacing w:after="0" w:line="120" w:lineRule="auto"/>
      </w:pPr>
    </w:p>
    <w:p>
      <w:r>
        <w:rPr>
          <w:b/>
        </w:rPr>
        <w:t xml:space="preserve">Anti-Dilution (Tranche 1):</w:t>
      </w:r>
      <w:r>
        <w:t xml:space="preserve"> Broad-based weighted average. Standard carve-outs.</w:t>
      </w:r>
    </w:p>
    <w:p>
      <w:pPr>
        <w:spacing w:after="0" w:line="120" w:lineRule="auto"/>
      </w:pPr>
    </w:p>
    <w:p>
      <w:r>
        <w:rPr>
          <w:b/>
        </w:rPr>
        <w:t xml:space="preserve">Conversion:</w:t>
      </w:r>
      <w:r>
        <w:t xml:space="preserve"> 1:1 into Common Stock, subject to anti-dilution adjustments.</w:t>
      </w:r>
    </w:p>
    <w:p>
      <w:pPr>
        <w:spacing w:after="0" w:line="120" w:lineRule="auto"/>
      </w:pPr>
    </w:p>
    <w:p>
      <w:r>
        <w:rPr>
          <w:b/>
        </w:rPr>
        <w:t xml:space="preserve">Automatic Conversion:</w:t>
      </w:r>
      <w:r>
        <w:t xml:space="preserve"> Upon (i) IPO with $50,000,000+ gross proceeds at 3x+</w:t>
      </w:r>
    </w:p>
    <w:p>
      <w:r>
        <w:t xml:space="preserve">the Original Purchase Price per share, or (ii) consent of 60% of Series A.</w:t>
      </w:r>
    </w:p>
    <w:p>
      <w:pPr>
        <w:spacing w:after="0" w:line="120" w:lineRule="auto"/>
      </w:pPr>
    </w:p>
    <w:p>
      <w:r>
        <w:rPr>
          <w:b/>
        </w:rPr>
        <w:t xml:space="preserve">Voting Rights:</w:t>
      </w:r>
      <w:r>
        <w:t xml:space="preserve"> Series A votes with Common Stock on an as-converted basis.</w:t>
      </w:r>
    </w:p>
    <w:p>
      <w:r>
        <w:t xml:space="preserve">Protective provisions require consent of a majority of Series A Preferred for:</w:t>
      </w:r>
    </w:p>
    <w:p>
      <w:pPr>
        <w:pStyle w:val="ListBullet"/>
      </w:pPr>
      <w:r>
        <w:t xml:space="preserve">1. </w:t>
      </w:r>
      <w:r>
        <w:t xml:space="preserve">Charter or Bylaws amendments adversely affecting Series A</w:t>
      </w:r>
    </w:p>
    <w:p>
      <w:pPr>
        <w:pStyle w:val="ListBullet"/>
      </w:pPr>
      <w:r>
        <w:t xml:space="preserve">2. </w:t>
      </w:r>
      <w:r>
        <w:t xml:space="preserve">Senior or pari passu equity issuance</w:t>
      </w:r>
    </w:p>
    <w:p>
      <w:pPr>
        <w:pStyle w:val="ListBullet"/>
      </w:pPr>
      <w:r>
        <w:t xml:space="preserve">3. </w:t>
      </w:r>
      <w:r>
        <w:t xml:space="preserve">Mergers, acquisitions, asset sales, or dissolution</w:t>
      </w:r>
    </w:p>
    <w:p>
      <w:pPr>
        <w:pStyle w:val="ListBullet"/>
      </w:pPr>
      <w:r>
        <w:t xml:space="preserve">4. </w:t>
      </w:r>
      <w:r>
        <w:t xml:space="preserve">Debt exceeding $750,000</w:t>
      </w:r>
    </w:p>
    <w:p>
      <w:pPr>
        <w:pStyle w:val="ListBullet"/>
      </w:pPr>
      <w:r>
        <w:t xml:space="preserve">5. </w:t>
      </w:r>
      <w:r>
        <w:t xml:space="preserve">Related-party transactions</w:t>
      </w:r>
    </w:p>
    <w:p>
      <w:pPr>
        <w:pStyle w:val="ListBullet"/>
      </w:pPr>
      <w:r>
        <w:t xml:space="preserve">6. </w:t>
      </w:r>
      <w:r>
        <w:t xml:space="preserve">Material changes to business scope (including exiting agriculture technology)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STRATEGIC INVESTOR PROVISIONS</w:t>
      </w:r>
    </w:p>
    <w:p>
      <w:pPr>
        <w:spacing w:after="0" w:line="120" w:lineRule="auto"/>
      </w:pPr>
    </w:p>
    <w:p>
      <w:r>
        <w:rPr>
          <w:b/>
        </w:rPr>
        <w:t xml:space="preserve">Right of First Refusal on Company Sale:</w:t>
      </w:r>
      <w:r>
        <w:t xml:space="preserve"> Syngenta Ventures (or its parent</w:t>
      </w:r>
    </w:p>
    <w:p>
      <w:r>
        <w:t xml:space="preserve">Syngenta Group) shall have a right of first refusal on any proposed sale,</w:t>
      </w:r>
    </w:p>
    <w:p>
      <w:r>
        <w:t xml:space="preserve">merger, or change of control of the Company. Upon receipt of a bona fide third-</w:t>
      </w:r>
    </w:p>
    <w:p>
      <w:r>
        <w:t xml:space="preserve">party offer, the Company shall notify Syngenta Ventures, which shall have 45</w:t>
      </w:r>
    </w:p>
    <w:p>
      <w:r>
        <w:t xml:space="preserve">days to match the offer on equivalent terms. If Syngenta matches, the Company</w:t>
      </w:r>
    </w:p>
    <w:p>
      <w:r>
        <w:t xml:space="preserve">must consummate the transaction with Syngenta. This ROFR survives until the</w:t>
      </w:r>
    </w:p>
    <w:p>
      <w:r>
        <w:t xml:space="preserve">earlier of (i) an IPO, or (ii) the 7th anniversary of the Initial Closing.</w:t>
      </w:r>
    </w:p>
    <w:p>
      <w:pPr>
        <w:spacing w:after="0" w:line="120" w:lineRule="auto"/>
      </w:pPr>
    </w:p>
    <w:p>
      <w:r>
        <w:rPr>
          <w:b/>
        </w:rPr>
        <w:t xml:space="preserve">Exclusive Partnership — Corn and Soy:</w:t>
      </w:r>
      <w:r>
        <w:t xml:space="preserve"> For a period of 3 years from the</w:t>
      </w:r>
    </w:p>
    <w:p>
      <w:r>
        <w:t xml:space="preserve">Initial Closing (the "Exclusivity Period"), the Company shall work exclusively</w:t>
      </w:r>
    </w:p>
    <w:p>
      <w:r>
        <w:t xml:space="preserve">with Syngenta and its affiliates as its commercial partner for the Company's</w:t>
      </w:r>
    </w:p>
    <w:p>
      <w:r>
        <w:t xml:space="preserve">precision agriculture platform in the corn and soybean segments within the</w:t>
      </w:r>
    </w:p>
    <w:p>
      <w:r>
        <w:t xml:space="preserve">United States and Canada. During the Exclusivity Period, the Company shall not</w:t>
      </w:r>
    </w:p>
    <w:p>
      <w:r>
        <w:t xml:space="preserve">enter into distribution, licensing, or co-marketing arrangements with any</w:t>
      </w:r>
    </w:p>
    <w:p>
      <w:r>
        <w:t xml:space="preserve">Syngenta competitor (including but not limited to Bayer CropScience, Corteva,</w:t>
      </w:r>
    </w:p>
    <w:p>
      <w:r>
        <w:t xml:space="preserve">and BASF) for corn or soy applications. This exclusivity does not apply to</w:t>
      </w:r>
    </w:p>
    <w:p>
      <w:r>
        <w:t xml:space="preserve">wheat, rice, specialty crops, or any geography outside the US and Canada.</w:t>
      </w:r>
    </w:p>
    <w:p>
      <w:pPr>
        <w:spacing w:after="0" w:line="120" w:lineRule="auto"/>
      </w:pPr>
    </w:p>
    <w:p>
      <w:r>
        <w:rPr>
          <w:b/>
        </w:rPr>
        <w:t xml:space="preserve">Warrant:</w:t>
      </w:r>
      <w:r>
        <w:t xml:space="preserve"> Syngenta Ventures shall receive a warrant to purchase additional</w:t>
      </w:r>
    </w:p>
    <w:p>
      <w:r>
        <w:t xml:space="preserve">shares of Common Stock equal to 2% of the fully diluted capitalization at the</w:t>
      </w:r>
    </w:p>
    <w:p>
      <w:r>
        <w:t xml:space="preserve">time of exercise, at a strike price based on a $60,000,000 pre-money valuation</w:t>
      </w:r>
    </w:p>
    <w:p>
      <w:r>
        <w:t xml:space="preserve">($3.00 per share). The warrant is exercisable beginning 18 months after the</w:t>
      </w:r>
    </w:p>
    <w:p>
      <w:r>
        <w:t xml:space="preserve">Initial Closing and expires on the 5th anniversary of issuance. The warrant</w:t>
      </w:r>
    </w:p>
    <w:p>
      <w:r>
        <w:t xml:space="preserve">is non-transferable except to Syngenta Group affiliates.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BOARD OF DIRECTORS</w:t>
      </w:r>
    </w:p>
    <w:p>
      <w:pPr>
        <w:spacing w:after="0" w:line="120" w:lineRule="auto"/>
      </w:pPr>
    </w:p>
    <w:p>
      <w:r>
        <w:rPr>
          <w:b/>
        </w:rPr>
        <w:t xml:space="preserve">Composition:</w:t>
      </w:r>
      <w:r>
        <w:t xml:space="preserve"> Five (5) members:</w:t>
      </w:r>
    </w:p>
    <w:p>
      <w:pPr>
        <w:pStyle w:val="ListBullet"/>
      </w:pPr>
      <w:r>
        <w:t xml:space="preserve">• </w:t>
      </w:r>
      <w:r>
        <w:t xml:space="preserve">One (1) designated by Syngenta Ventures</w:t>
      </w:r>
    </w:p>
    <w:p>
      <w:pPr>
        <w:pStyle w:val="ListBullet"/>
      </w:pPr>
      <w:r>
        <w:t xml:space="preserve">• </w:t>
      </w:r>
      <w:r>
        <w:t xml:space="preserve">Two (2) designated by Common Stock holders (CEO and one founder)</w:t>
      </w:r>
    </w:p>
    <w:p>
      <w:pPr>
        <w:pStyle w:val="ListBullet"/>
      </w:pPr>
      <w:r>
        <w:t xml:space="preserve">• </w:t>
      </w:r>
      <w:r>
        <w:t xml:space="preserve">One (1) independent director with agriculture industry expertise, mutually</w:t>
      </w:r>
    </w:p>
    <w:p>
      <w:r>
        <w:t xml:space="preserve">agreed by Syngenta Ventures and the CEO</w:t>
      </w:r>
    </w:p>
    <w:p>
      <w:pPr>
        <w:pStyle w:val="ListBullet"/>
      </w:pPr>
      <w:r>
        <w:t xml:space="preserve">• </w:t>
      </w:r>
      <w:r>
        <w:t xml:space="preserve">One (1) independent director mutually agreed by all parties</w:t>
      </w:r>
    </w:p>
    <w:p>
      <w:pPr>
        <w:spacing w:after="0" w:line="120" w:lineRule="auto"/>
      </w:pPr>
    </w:p>
    <w:p>
      <w:r>
        <w:rPr>
          <w:b/>
        </w:rPr>
        <w:t xml:space="preserve">Board Observer:</w:t>
      </w:r>
      <w:r>
        <w:t xml:space="preserve"> Anterra Capital shall have one Board observer seat.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INVESTOR RIGHTS</w:t>
      </w:r>
    </w:p>
    <w:p>
      <w:pPr>
        <w:spacing w:after="0" w:line="120" w:lineRule="auto"/>
      </w:pPr>
    </w:p>
    <w:p>
      <w:r>
        <w:rPr>
          <w:b/>
        </w:rPr>
        <w:t xml:space="preserve">Information Rights:</w:t>
      </w:r>
      <w:r>
        <w:t xml:space="preserve"> Monthly financial statements and platform usage metrics</w:t>
      </w:r>
    </w:p>
    <w:p>
      <w:r>
        <w:t xml:space="preserve">(active farms, acreage covered, module adoption) within 20 days of month-end.</w:t>
      </w:r>
    </w:p>
    <w:p>
      <w:r>
        <w:t xml:space="preserve">Quarterly financial statements within 30 days of quarter-end. Annual audited</w:t>
      </w:r>
    </w:p>
    <w:p>
      <w:r>
        <w:t xml:space="preserve">financials within 90 days of year-end. Annual operating plan at least 30 days</w:t>
      </w:r>
    </w:p>
    <w:p>
      <w:r>
        <w:t xml:space="preserve">before each fiscal year.</w:t>
      </w:r>
    </w:p>
    <w:p>
      <w:pPr>
        <w:spacing w:after="0" w:line="120" w:lineRule="auto"/>
      </w:pPr>
    </w:p>
    <w:p>
      <w:r>
        <w:rPr>
          <w:b/>
        </w:rPr>
        <w:t xml:space="preserve">Pro-Rata Rights:</w:t>
      </w:r>
      <w:r>
        <w:t xml:space="preserve"> Major Investors ($500,000+ in Series A) have standard</w:t>
      </w:r>
    </w:p>
    <w:p>
      <w:r>
        <w:t xml:space="preserve">pro-rata rights in future equity financings. No super pro-rata rights.</w:t>
      </w:r>
    </w:p>
    <w:p>
      <w:pPr>
        <w:spacing w:after="0" w:line="120" w:lineRule="auto"/>
      </w:pPr>
    </w:p>
    <w:p>
      <w:r>
        <w:rPr>
          <w:b/>
        </w:rPr>
        <w:t xml:space="preserve">Registration Rights:</w:t>
      </w:r>
      <w:r>
        <w:t xml:space="preserve"> Two demand registrations post-IPO +180 days. Unlimited</w:t>
      </w:r>
    </w:p>
    <w:p>
      <w:r>
        <w:t xml:space="preserve">piggyback. S-3 when eligible. Company pays expenses except underwriting</w:t>
      </w:r>
    </w:p>
    <w:p>
      <w:r>
        <w:t xml:space="preserve">discounts.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3"/>
      </w:pPr>
      <w:r>
        <w:t xml:space="preserve">ADDITIONAL TERMS</w:t>
      </w:r>
    </w:p>
    <w:p>
      <w:pPr>
        <w:spacing w:after="0" w:line="120" w:lineRule="auto"/>
      </w:pPr>
    </w:p>
    <w:p>
      <w:r>
        <w:rPr>
          <w:b/>
        </w:rPr>
        <w:t xml:space="preserve">Right of First Refusal / Co-Sale:</w:t>
      </w:r>
      <w:r>
        <w:t xml:space="preserve"> Company and then investors have ROFR on</w:t>
      </w:r>
    </w:p>
    <w:p>
      <w:r>
        <w:t xml:space="preserve">founder shares. Investors have co-sale rights.</w:t>
      </w:r>
    </w:p>
    <w:p>
      <w:pPr>
        <w:spacing w:after="0" w:line="120" w:lineRule="auto"/>
      </w:pPr>
    </w:p>
    <w:p>
      <w:r>
        <w:rPr>
          <w:b/>
        </w:rPr>
        <w:t xml:space="preserve">Drag-Along:</w:t>
      </w:r>
      <w:r>
        <w:t xml:space="preserve"> 60% of all shares (as-converted), including a majority of</w:t>
      </w:r>
    </w:p>
    <w:p>
      <w:r>
        <w:t xml:space="preserve">Series A, may compel a Company sale. Subject to Syngenta's ROFR described above.</w:t>
      </w:r>
    </w:p>
    <w:p>
      <w:pPr>
        <w:spacing w:after="0" w:line="120" w:lineRule="auto"/>
      </w:pPr>
    </w:p>
    <w:p>
      <w:r>
        <w:rPr>
          <w:b/>
        </w:rPr>
        <w:t xml:space="preserve">No-Shop:</w:t>
      </w:r>
      <w:r>
        <w:t xml:space="preserve"> 60 days from the date of this Term Sheet.</w:t>
      </w:r>
    </w:p>
    <w:p>
      <w:pPr>
        <w:spacing w:after="0" w:line="120" w:lineRule="auto"/>
      </w:pPr>
    </w:p>
    <w:p>
      <w:r>
        <w:rPr>
          <w:b/>
        </w:rPr>
        <w:t xml:space="preserve">Founder Vesting:</w:t>
      </w:r>
      <w:r>
        <w:t xml:space="preserve"> 4-year vesting with 1-year cliff from the Closing Date.</w:t>
      </w:r>
    </w:p>
    <w:p>
      <w:r>
        <w:t xml:space="preserve">Prior service not credited. Double-trigger acceleration: Change of Control plus</w:t>
      </w:r>
    </w:p>
    <w:p>
      <w:r>
        <w:t xml:space="preserve">involuntary termination within 12 months results in 100% vesting.</w:t>
      </w:r>
    </w:p>
    <w:p>
      <w:pPr>
        <w:spacing w:after="0" w:line="120" w:lineRule="auto"/>
      </w:pPr>
    </w:p>
    <w:p>
      <w:r>
        <w:rPr>
          <w:b/>
        </w:rPr>
        <w:t xml:space="preserve">Key Persons:</w:t>
      </w:r>
      <w:r>
        <w:t xml:space="preserve"> Matt Sorensen (CEO) and Dr. Anya Petrov (CTO). If either</w:t>
      </w:r>
    </w:p>
    <w:p>
      <w:r>
        <w:t xml:space="preserve">departs voluntarily within 24 months of Closing, the Tranche 2 obligation</w:t>
      </w:r>
    </w:p>
    <w:p>
      <w:r>
        <w:t xml:space="preserve">is void (if not yet funded) and Syngenta Ventures may appoint an interim</w:t>
      </w:r>
    </w:p>
    <w:p>
      <w:r>
        <w:t xml:space="preserve">replacement pending Board action.</w:t>
      </w:r>
    </w:p>
    <w:p>
      <w:pPr>
        <w:spacing w:after="0" w:line="120" w:lineRule="auto"/>
      </w:pPr>
    </w:p>
    <w:p>
      <w:r>
        <w:rPr>
          <w:b/>
        </w:rPr>
        <w:t xml:space="preserve">Employee Matters:</w:t>
      </w:r>
    </w:p>
    <w:p>
      <w:pPr>
        <w:pStyle w:val="ListBullet"/>
      </w:pPr>
      <w:r>
        <w:t xml:space="preserve">• </w:t>
      </w:r>
      <w:r>
        <w:t xml:space="preserve">All employees sign CIIAs and invention assignment agreements</w:t>
      </w:r>
    </w:p>
    <w:p>
      <w:pPr>
        <w:pStyle w:val="ListBullet"/>
      </w:pPr>
      <w:r>
        <w:t xml:space="preserve">• </w:t>
      </w:r>
      <w:r>
        <w:t xml:space="preserve">Standard 90-day post-termination exercise period</w:t>
      </w:r>
    </w:p>
    <w:p>
      <w:pPr>
        <w:pStyle w:val="ListBullet"/>
      </w:pPr>
      <w:r>
        <w:t xml:space="preserve">• </w:t>
      </w:r>
      <w:r>
        <w:t xml:space="preserve">Hardware-related IP assigned exclusively to the Company</w:t>
      </w:r>
    </w:p>
    <w:p>
      <w:pPr>
        <w:spacing w:after="0" w:line="120" w:lineRule="auto"/>
      </w:pPr>
    </w:p>
    <w:p>
      <w:r>
        <w:rPr>
          <w:b/>
        </w:rPr>
        <w:t xml:space="preserve">Expenses:</w:t>
      </w:r>
      <w:r>
        <w:t xml:space="preserve"> Company pays Syngenta Ventures' legal fees up to $45,000 and</w:t>
      </w:r>
    </w:p>
    <w:p>
      <w:r>
        <w:t xml:space="preserve">independent auditor fees for milestone verification up to $25,000.</w:t>
      </w:r>
    </w:p>
    <w:p>
      <w:pPr>
        <w:spacing w:after="0" w:line="120" w:lineRule="auto"/>
      </w:pPr>
    </w:p>
    <w:p>
      <w:r>
        <w:rPr>
          <w:b/>
        </w:rPr>
        <w:t xml:space="preserve">Closing Conditions:</w:t>
      </w:r>
    </w:p>
    <w:p>
      <w:pPr>
        <w:pStyle w:val="ListBullet"/>
      </w:pPr>
      <w:r>
        <w:t xml:space="preserve">• </w:t>
      </w:r>
      <w:r>
        <w:t xml:space="preserve">Completion of legal, financial, technical, and IP due diligence</w:t>
      </w:r>
    </w:p>
    <w:p>
      <w:pPr>
        <w:pStyle w:val="ListBullet"/>
      </w:pPr>
      <w:r>
        <w:t xml:space="preserve">• </w:t>
      </w:r>
      <w:r>
        <w:t xml:space="preserve">Freedom-to-operate opinion for the Company's core hardware/software patents</w:t>
      </w:r>
    </w:p>
    <w:p>
      <w:pPr>
        <w:pStyle w:val="ListBullet"/>
      </w:pPr>
      <w:r>
        <w:t xml:space="preserve">• </w:t>
      </w:r>
      <w:r>
        <w:t xml:space="preserve">Key person insurance of $3,000,000 on CEO and CTO</w:t>
      </w:r>
    </w:p>
    <w:p>
      <w:pPr>
        <w:pStyle w:val="ListBullet"/>
      </w:pPr>
      <w:r>
        <w:t xml:space="preserve">• </w:t>
      </w:r>
      <w:r>
        <w:t xml:space="preserve">Execution of the Exclusive Partnership Agreement as a condition to closing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r>
        <w:rPr>
          <w:i/>
        </w:rPr>
        <w:t xml:space="preserve">Governed by the laws of the State of Delaware.</w:t>
      </w:r>
    </w:p>
    <w:p>
      <w:pPr>
        <w:spacing w:after="0" w:line="120" w:lineRule="auto"/>
      </w:pPr>
    </w:p>
    <w:p>
      <w:r>
        <w:rPr>
          <w:b/>
        </w:rPr>
        <w:t xml:space="preserve">AGREED AND ACCEPTED:</w:t>
      </w:r>
    </w:p>
    <w:p>
      <w:pPr>
        <w:spacing w:after="0" w:line="120" w:lineRule="auto"/>
      </w:pPr>
    </w:p>
    <w:p>
      <w:r>
        <w:t xml:space="preserve">FarmOS Technologies, Inc.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Matt Sorensen, CEO &amp; Co-Founder</w:t>
      </w:r>
    </w:p>
    <w:p>
      <w:r>
        <w:t xml:space="preserve">Date: April __, 2025</w:t>
      </w:r>
    </w:p>
    <w:p>
      <w:pPr>
        <w:spacing w:after="0" w:line="120" w:lineRule="auto"/>
      </w:pPr>
    </w:p>
    <w:p>
      <w:r>
        <w:t xml:space="preserve">Syngenta Ventures Pte Ltd</w:t>
      </w:r>
    </w:p>
    <w:p>
      <w:pPr>
        <w:spacing w:after="0" w:line="120" w:lineRule="auto"/>
      </w:pPr>
    </w:p>
    <w:p>
      <w:r>
        <w:t xml:space="preserve">By: ___________________________</w:t>
      </w:r>
    </w:p>
    <w:p>
      <w:r>
        <w:t xml:space="preserve">Name: Christoph Haegi, Head of Syngenta Ventures</w:t>
      </w:r>
    </w:p>
    <w:p>
      <w:r>
        <w:t xml:space="preserve">Date: April __, 2025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