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Series A Preferred Stock Financing of GreenGrid Energy,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July 14, 2025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outlines the principal terms for the proposed Series A Preferred</w:t>
      </w:r>
    </w:p>
    <w:p>
      <w:r>
        <w:t xml:space="preserve">Stock Financing of GreenGrid Energy, Inc., a Delaware public benefit corporation</w:t>
      </w:r>
    </w:p>
    <w:p>
      <w:r>
        <w:t xml:space="preserve">(the "Company"). Other than "No-Shop," "Confidentiality," and "Legal Fees,"</w:t>
      </w:r>
    </w:p>
    <w:p>
      <w:r>
        <w:t xml:space="preserve">this term sheet creates no binding obligations.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Series A Preferred Stock (the "Series A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On or before August 31, 2025</w:t>
      </w:r>
    </w:p>
    <w:p>
      <w:pPr>
        <w:spacing w:after="0" w:line="120" w:lineRule="auto"/>
      </w:pPr>
    </w:p>
    <w:p>
      <w:r>
        <w:rPr>
          <w:b/>
        </w:rPr>
        <w:t xml:space="preserve">Amount Raised:</w:t>
      </w:r>
      <w:r>
        <w:t xml:space="preserve"> $18,000,000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$72,000,000 on a fully diluted basis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$3.60 per share (based on 20,000,000 fully diluted shares</w:t>
      </w:r>
    </w:p>
    <w:p>
      <w:r>
        <w:t xml:space="preserve">pre-money)</w:t>
      </w:r>
    </w:p>
    <w:p>
      <w:pPr>
        <w:spacing w:after="0" w:line="120" w:lineRule="auto"/>
      </w:pPr>
    </w:p>
    <w:p>
      <w:r>
        <w:rPr>
          <w:b/>
        </w:rPr>
        <w:t xml:space="preserve">Post-Money Valuation:</w:t>
      </w:r>
      <w:r>
        <w:t xml:space="preserve"> $90,000,000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Amount</w:t>
            </w:r>
          </w:p>
        </w:tc>
        <w:tc>
          <w:tcPr>
            <w:tcW w:w="30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Breakthrough Energy Ventures (Lead)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3,333,333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Congruent Ventures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833,333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DCVC (Data Collective)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555,556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Lowercarbon Capital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$1,000,000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277,778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**$18,000,000**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**$5,000,000**</w:t>
            </w:r>
          </w:p>
        </w:tc>
      </w:tr>
    </w:tbl>
    <w:p>
      <w:pPr>
        <w:spacing w:after="0" w:line="120" w:lineRule="auto"/>
      </w:pPr>
    </w:p>
    <w:p>
      <w:r>
        <w:rPr>
          <w:b/>
        </w:rPr>
        <w:t xml:space="preserve">Capitalization Pre-Financing:</w:t>
      </w:r>
    </w:p>
    <w:p>
      <w:pPr>
        <w:pStyle w:val="ListBullet"/>
      </w:pPr>
      <w:r>
        <w:t xml:space="preserve">• </w:t>
      </w:r>
      <w:r>
        <w:t xml:space="preserve">Founders (Rebecca Okafor, 40%; James Liu, 30%): 14,000,000 shares (70%)</w:t>
      </w:r>
    </w:p>
    <w:p>
      <w:pPr>
        <w:pStyle w:val="ListBullet"/>
      </w:pPr>
      <w:r>
        <w:t xml:space="preserve">• </w:t>
      </w:r>
      <w:r>
        <w:t xml:space="preserve">Seed Investors (Seed Preferred): 2,000,000 shares (10%)</w:t>
      </w:r>
    </w:p>
    <w:p>
      <w:pPr>
        <w:pStyle w:val="ListBullet"/>
      </w:pPr>
      <w:r>
        <w:t xml:space="preserve">• </w:t>
      </w:r>
      <w:r>
        <w:t xml:space="preserve">Employee Pool (granted): 1,800,000 shares (9%)</w:t>
      </w:r>
    </w:p>
    <w:p>
      <w:pPr>
        <w:pStyle w:val="ListBullet"/>
      </w:pPr>
      <w:r>
        <w:t xml:space="preserve">• </w:t>
      </w:r>
      <w:r>
        <w:t xml:space="preserve">Unallocated Pool: 2,200,000 shares (11%)</w:t>
      </w:r>
    </w:p>
    <w:p>
      <w:pPr>
        <w:spacing w:after="0" w:line="120" w:lineRule="auto"/>
      </w:pPr>
    </w:p>
    <w:p>
      <w:r>
        <w:rPr>
          <w:b/>
        </w:rPr>
        <w:t xml:space="preserve">Option Pool:</w:t>
      </w:r>
      <w:r>
        <w:t xml:space="preserve"> Increased to 12% of post-financing fully diluted capitalization.</w:t>
      </w:r>
    </w:p>
    <w:p>
      <w:r>
        <w:t xml:space="preserve">Increase carved from pre-money.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Cumulative preferred dividend at 4% per annum, accruing daily</w:t>
      </w:r>
    </w:p>
    <w:p>
      <w:r>
        <w:t xml:space="preserve">and compounding annually. Payable upon a Liquidation Event, redemption, or when</w:t>
      </w:r>
    </w:p>
    <w:p>
      <w:r>
        <w:t xml:space="preserve">declared by the Board. This below-market rate reflects the Company's</w:t>
      </w:r>
    </w:p>
    <w:p>
      <w:r>
        <w:t xml:space="preserve">reinvestment-first philosophy and was negotiated as part of BEV's impact terms.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1.0x non-participating preferred. Holders receive</w:t>
      </w:r>
    </w:p>
    <w:p>
      <w:r>
        <w:t xml:space="preserve">the greater of (i) 1.0x Original Purchase Price plus all accrued and unpaid</w:t>
      </w:r>
    </w:p>
    <w:p>
      <w:r>
        <w:t xml:space="preserve">dividends, or (ii) the as-converted amount. No participation beyond the</w:t>
      </w:r>
    </w:p>
    <w:p>
      <w:r>
        <w:t xml:space="preserve">preference.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Series A Preferred converts automatically into Common</w:t>
      </w:r>
    </w:p>
    <w:p>
      <w:r>
        <w:t xml:space="preserve">Stock at the then-effective conversion ratio upon:</w:t>
      </w:r>
    </w:p>
    <w:p>
      <w:pPr>
        <w:pStyle w:val="ListBullet"/>
      </w:pPr>
      <w:r>
        <w:t xml:space="preserve">• </w:t>
      </w:r>
      <w:r>
        <w:t xml:space="preserve">(i) A Qualified IPO with gross proceeds of at least $40,000,000, or</w:t>
      </w:r>
    </w:p>
    <w:p>
      <w:pPr>
        <w:pStyle w:val="ListBullet"/>
      </w:pPr>
      <w:r>
        <w:t xml:space="preserve">• </w:t>
      </w:r>
      <w:r>
        <w:t xml:space="preserve">(ii) Consent of 60% of outstanding Series A Preferred, or</w:t>
      </w:r>
    </w:p>
    <w:p>
      <w:pPr>
        <w:pStyle w:val="ListBullet"/>
      </w:pPr>
      <w:r>
        <w:t xml:space="preserve">• </w:t>
      </w:r>
      <w:r>
        <w:t xml:space="preserve">(iii) Whenever the Fair Market Value of Common Stock (as determined by an</w:t>
      </w:r>
    </w:p>
    <w:p>
      <w:r>
        <w:t xml:space="preserve">independent 409A valuation) equals or exceeds 2.0x the Series A Original</w:t>
      </w:r>
    </w:p>
    <w:p>
      <w:r>
        <w:t xml:space="preserve">Purchase Price for two consecutive quarters. Note: the 2x threshold is below</w:t>
      </w:r>
    </w:p>
    <w:p>
      <w:r>
        <w:t xml:space="preserve">the typical 3x used in most term sheets, enabling earlier automatic conversion.</w:t>
      </w:r>
    </w:p>
    <w:p>
      <w:pPr>
        <w:spacing w:after="0" w:line="120" w:lineRule="auto"/>
      </w:pPr>
    </w:p>
    <w:p>
      <w:r>
        <w:rPr>
          <w:b/>
        </w:rPr>
        <w:t xml:space="preserve">Anti-Dilution:</w:t>
      </w:r>
      <w:r>
        <w:t xml:space="preserve"> Broad-based weighted average. Standard carve-outs.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Voluntary conversion at any time at a 1:1 ratio subject to</w:t>
      </w:r>
    </w:p>
    <w:p>
      <w:r>
        <w:t xml:space="preserve">anti-dilution adjustments.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Series A votes together with Common Stock on an as-converted</w:t>
      </w:r>
    </w:p>
    <w:p>
      <w:r>
        <w:t xml:space="preserve">basis. Protective provisions requiring consent of a majority of Series A</w:t>
      </w:r>
    </w:p>
    <w:p>
      <w:r>
        <w:t xml:space="preserve">Preferred:</w:t>
      </w:r>
    </w:p>
    <w:p>
      <w:pPr>
        <w:pStyle w:val="ListBullet"/>
      </w:pPr>
      <w:r>
        <w:t xml:space="preserve">1. </w:t>
      </w:r>
      <w:r>
        <w:t xml:space="preserve">Changes to Charter or Bylaws adversely affecting Series A</w:t>
      </w:r>
    </w:p>
    <w:p>
      <w:pPr>
        <w:pStyle w:val="ListBullet"/>
      </w:pPr>
      <w:r>
        <w:t xml:space="preserve">2. </w:t>
      </w:r>
      <w:r>
        <w:t xml:space="preserve">Issuance of senior or pari passu equity</w:t>
      </w:r>
    </w:p>
    <w:p>
      <w:pPr>
        <w:pStyle w:val="ListBullet"/>
      </w:pPr>
      <w:r>
        <w:t xml:space="preserve">3. </w:t>
      </w:r>
      <w:r>
        <w:t xml:space="preserve">Merger, acquisition, asset sale, or dissolution</w:t>
      </w:r>
    </w:p>
    <w:p>
      <w:pPr>
        <w:pStyle w:val="ListBullet"/>
      </w:pPr>
      <w:r>
        <w:t xml:space="preserve">4. </w:t>
      </w:r>
      <w:r>
        <w:t xml:space="preserve">Incurrence of debt above $1,000,000</w:t>
      </w:r>
    </w:p>
    <w:p>
      <w:pPr>
        <w:pStyle w:val="ListBullet"/>
      </w:pPr>
      <w:r>
        <w:t xml:space="preserve">5. </w:t>
      </w:r>
      <w:r>
        <w:t xml:space="preserve">Related-party transactions with founders or officers</w:t>
      </w:r>
    </w:p>
    <w:p>
      <w:pPr>
        <w:pStyle w:val="ListBullet"/>
      </w:pPr>
      <w:r>
        <w:t xml:space="preserve">6. </w:t>
      </w:r>
      <w:r>
        <w:t xml:space="preserve">Material changes to the Company's public benefit purpose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IMPACT COVENANTS</w:t>
      </w:r>
    </w:p>
    <w:p>
      <w:pPr>
        <w:spacing w:after="0" w:line="120" w:lineRule="auto"/>
      </w:pPr>
    </w:p>
    <w:p>
      <w:r>
        <w:rPr>
          <w:b/>
        </w:rPr>
        <w:t xml:space="preserve">B Corp Certification:</w:t>
      </w:r>
      <w:r>
        <w:t xml:space="preserve"> The Company shall obtain certified B Corporation</w:t>
      </w:r>
    </w:p>
    <w:p>
      <w:r>
        <w:t xml:space="preserve">status from B Lab within 18 months of the Closing Date. Failure to obtain or</w:t>
      </w:r>
    </w:p>
    <w:p>
      <w:r>
        <w:t xml:space="preserve">maintain certification constitutes an Event of Default under the Investor Rights</w:t>
      </w:r>
    </w:p>
    <w:p>
      <w:r>
        <w:t xml:space="preserve">Agreement, entitling holders of a majority of Series A Preferred to appoint an</w:t>
      </w:r>
    </w:p>
    <w:p>
      <w:r>
        <w:t xml:space="preserve">additional Board member until certification is achieved.</w:t>
      </w:r>
    </w:p>
    <w:p>
      <w:pPr>
        <w:spacing w:after="0" w:line="120" w:lineRule="auto"/>
      </w:pPr>
    </w:p>
    <w:p>
      <w:r>
        <w:rPr>
          <w:b/>
        </w:rPr>
        <w:t xml:space="preserve">Carbon Offset Verification:</w:t>
      </w:r>
      <w:r>
        <w:t xml:space="preserve"> Beginning in Q1 2026, the Company shall engage</w:t>
      </w:r>
    </w:p>
    <w:p>
      <w:r>
        <w:t xml:space="preserve">an independent third-party verifier (approved by BEV from a list including</w:t>
      </w:r>
    </w:p>
    <w:p>
      <w:r>
        <w:t xml:space="preserve">Verra, Gold Standard, and SCS Global) to audit and certify the Company's</w:t>
      </w:r>
    </w:p>
    <w:p>
      <w:r>
        <w:t xml:space="preserve">carbon offset claims on an annual basis. Verification reports shall be delivered</w:t>
      </w:r>
    </w:p>
    <w:p>
      <w:r>
        <w:t xml:space="preserve">to all investors within 30 days of completion.</w:t>
      </w:r>
    </w:p>
    <w:p>
      <w:pPr>
        <w:spacing w:after="0" w:line="120" w:lineRule="auto"/>
      </w:pPr>
    </w:p>
    <w:p>
      <w:r>
        <w:rPr>
          <w:b/>
        </w:rPr>
        <w:t xml:space="preserve">ESG Reporting:</w:t>
      </w:r>
      <w:r>
        <w:t xml:space="preserve"> The Company shall provide quarterly ESG reports to all</w:t>
      </w:r>
    </w:p>
    <w:p>
      <w:r>
        <w:t xml:space="preserve">investors, covering: (i) Scope 1, 2, and 3 greenhouse gas emissions, (ii)</w:t>
      </w:r>
    </w:p>
    <w:p>
      <w:r>
        <w:t xml:space="preserve">renewable energy generation and distribution metrics, (iii) community impact</w:t>
      </w:r>
    </w:p>
    <w:p>
      <w:r>
        <w:t xml:space="preserve">metrics including jobs created and energy cost savings delivered, and (iv)</w:t>
      </w:r>
    </w:p>
    <w:p>
      <w:r>
        <w:t xml:space="preserve">diversity metrics across the workforce and leadership. Reports are due within</w:t>
      </w:r>
    </w:p>
    <w:p>
      <w:r>
        <w:t xml:space="preserve">45 days of each quarter-end.</w:t>
      </w:r>
    </w:p>
    <w:p>
      <w:pPr>
        <w:spacing w:after="0" w:line="120" w:lineRule="auto"/>
      </w:pPr>
    </w:p>
    <w:p>
      <w:r>
        <w:rPr>
          <w:b/>
        </w:rPr>
        <w:t xml:space="preserve">Public Benefit Purpose:</w:t>
      </w:r>
      <w:r>
        <w:t xml:space="preserve"> The Company's Certificate of Incorporation shall</w:t>
      </w:r>
    </w:p>
    <w:p>
      <w:r>
        <w:t xml:space="preserve">maintain a specific public benefit purpose of "accelerating the transition to</w:t>
      </w:r>
    </w:p>
    <w:p>
      <w:r>
        <w:t xml:space="preserve">distributed clean energy." Any amendment to or removal of this purpose requires</w:t>
      </w:r>
    </w:p>
    <w:p>
      <w:r>
        <w:t xml:space="preserve">the consent of holders of 80% of Series A Preferred.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BOARD OF DIRECTORS</w:t>
      </w:r>
    </w:p>
    <w:p>
      <w:pPr>
        <w:spacing w:after="0" w:line="120" w:lineRule="auto"/>
      </w:pPr>
    </w:p>
    <w:p>
      <w:r>
        <w:rPr>
          <w:b/>
        </w:rPr>
        <w:t xml:space="preserve">Composition:</w:t>
      </w:r>
      <w:r>
        <w:t xml:space="preserve"> Five (5) members:</w:t>
      </w:r>
    </w:p>
    <w:p>
      <w:pPr>
        <w:pStyle w:val="ListBullet"/>
      </w:pPr>
      <w:r>
        <w:t xml:space="preserve">• </w:t>
      </w:r>
      <w:r>
        <w:t xml:space="preserve">Two (2) designated by Breakthrough Energy Ventures</w:t>
      </w:r>
    </w:p>
    <w:p>
      <w:pPr>
        <w:pStyle w:val="ListBullet"/>
      </w:pPr>
      <w:r>
        <w:t xml:space="preserve">• </w:t>
      </w:r>
      <w:r>
        <w:t xml:space="preserve">Two (2) designated by the holders of Common Stock (initially both founders)</w:t>
      </w:r>
    </w:p>
    <w:p>
      <w:pPr>
        <w:pStyle w:val="ListBullet"/>
      </w:pPr>
      <w:r>
        <w:t xml:space="preserve">• </w:t>
      </w:r>
      <w:r>
        <w:t xml:space="preserve">One (1) independent director with climate-tech expertise, mutually agreed</w:t>
      </w:r>
    </w:p>
    <w:p>
      <w:pPr>
        <w:spacing w:after="0" w:line="120" w:lineRule="auto"/>
      </w:pPr>
    </w:p>
    <w:p>
      <w:r>
        <w:rPr>
          <w:b/>
        </w:rPr>
        <w:t xml:space="preserve">ESG Committee:</w:t>
      </w:r>
      <w:r>
        <w:t xml:space="preserve"> The Board shall form an ESG Committee within 90 days of</w:t>
      </w:r>
    </w:p>
    <w:p>
      <w:r>
        <w:t xml:space="preserve">Closing, composed of one BEV designee, one founder, and the independent</w:t>
      </w:r>
    </w:p>
    <w:p>
      <w:r>
        <w:t xml:space="preserve">director. The committee shall meet quarterly to review impact metrics and</w:t>
      </w:r>
    </w:p>
    <w:p>
      <w:r>
        <w:t xml:space="preserve">compliance with Impact Covenants.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Monthly financial statements and impact dashboards</w:t>
      </w:r>
    </w:p>
    <w:p>
      <w:r>
        <w:t xml:space="preserve">within 20 days of month-end. Quarterly financials and ESG reports within 45</w:t>
      </w:r>
    </w:p>
    <w:p>
      <w:r>
        <w:t xml:space="preserve">days of quarter-end. Annual audited financials within 90 days of year-end.</w:t>
      </w:r>
    </w:p>
    <w:p>
      <w:pPr>
        <w:spacing w:after="0" w:line="120" w:lineRule="auto"/>
      </w:pPr>
    </w:p>
    <w:p>
      <w:r>
        <w:rPr>
          <w:b/>
        </w:rPr>
        <w:t xml:space="preserve">Pro-Rata Rights:</w:t>
      </w:r>
      <w:r>
        <w:t xml:space="preserve"> Major Investors (holding at least $1,000,000 in Series A</w:t>
      </w:r>
    </w:p>
    <w:p>
      <w:r>
        <w:t xml:space="preserve">Preferred) have standard pro-rata rights in future rounds.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Two demand registrations (post-IPO +180 days).</w:t>
      </w:r>
    </w:p>
    <w:p>
      <w:r>
        <w:t xml:space="preserve">Unlimited piggyback rights. S-3 when eligible. Company pays expenses except</w:t>
      </w:r>
    </w:p>
    <w:p>
      <w:r>
        <w:t xml:space="preserve">underwriting discounts.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and then investors have ROFR on</w:t>
      </w:r>
    </w:p>
    <w:p>
      <w:r>
        <w:t xml:space="preserve">founder shares. Investors have co-sale rights on founder sales.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65% of all outstanding shares (as-converted), with BEV consent,</w:t>
      </w:r>
    </w:p>
    <w:p>
      <w:r>
        <w:t xml:space="preserve">may compel a Company sale, provided the transaction values Series A Preferred</w:t>
      </w:r>
    </w:p>
    <w:p>
      <w:r>
        <w:t xml:space="preserve">at no less than 1.5x the Original Purchase Price.</w:t>
      </w:r>
    </w:p>
    <w:p>
      <w:pPr>
        <w:spacing w:after="0" w:line="120" w:lineRule="auto"/>
      </w:pPr>
    </w:p>
    <w:p>
      <w:r>
        <w:rPr>
          <w:b/>
        </w:rPr>
        <w:t xml:space="preserve">No-Shop:</w:t>
      </w:r>
      <w:r>
        <w:t xml:space="preserve"> 45 days from the date of this Term Sheet.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4-year vesting with 1-year cliff. Double-trigger</w:t>
      </w:r>
    </w:p>
    <w:p>
      <w:r>
        <w:t xml:space="preserve">acceleration: Change of Control plus termination within 12 months results in</w:t>
      </w:r>
    </w:p>
    <w:p>
      <w:r>
        <w:t xml:space="preserve">100% vesting.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sign CIIAs</w:t>
      </w:r>
    </w:p>
    <w:p>
      <w:pPr>
        <w:pStyle w:val="ListBullet"/>
      </w:pPr>
      <w:r>
        <w:t xml:space="preserve">• </w:t>
      </w:r>
      <w:r>
        <w:t xml:space="preserve">Standard 90-day post-termination exercise period</w:t>
      </w:r>
    </w:p>
    <w:p>
      <w:pPr>
        <w:pStyle w:val="ListBullet"/>
      </w:pPr>
      <w:r>
        <w:t xml:space="preserve">• </w:t>
      </w:r>
      <w:r>
        <w:t xml:space="preserve">10b5-1 trading plan required for all officers and directors post-IPO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pays BEV's legal fees up to $50,000.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Completion of due diligence (legal, financial, technical, and environmental)</w:t>
      </w:r>
    </w:p>
    <w:p>
      <w:pPr>
        <w:pStyle w:val="ListBullet"/>
      </w:pPr>
      <w:r>
        <w:t xml:space="preserve">• </w:t>
      </w:r>
      <w:r>
        <w:t xml:space="preserve">Execution of Impact Covenant agreement as an exhibit to the IRA</w:t>
      </w:r>
    </w:p>
    <w:p>
      <w:pPr>
        <w:pStyle w:val="ListBullet"/>
      </w:pPr>
      <w:r>
        <w:t xml:space="preserve">• </w:t>
      </w:r>
      <w:r>
        <w:t xml:space="preserve">Key person insurance of $5,000,000 on each founder</w:t>
      </w:r>
    </w:p>
    <w:p>
      <w:pPr>
        <w:pStyle w:val="ListBullet"/>
      </w:pPr>
      <w:r>
        <w:t xml:space="preserve">• </w:t>
      </w:r>
      <w:r>
        <w:t xml:space="preserve">Board-approved 2025-2026 operating plan</w:t>
      </w:r>
    </w:p>
    <w:p>
      <w:pPr>
        <w:pStyle w:val="ListBullet"/>
      </w:pPr>
      <w:r>
        <w:t xml:space="preserve">• </w:t>
      </w:r>
      <w:r>
        <w:t xml:space="preserve">Confirmation of the Company's Delaware PBC status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i/>
        </w:rPr>
        <w:t xml:space="preserve">Governed by the laws of the State of Delaware.</w:t>
      </w: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GreenGrid Energy,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Rebecca Okafor, CEO &amp; Co-Founder</w:t>
      </w:r>
    </w:p>
    <w:p>
      <w:r>
        <w:t xml:space="preserve">Date: July __, 2025</w:t>
      </w:r>
    </w:p>
    <w:p>
      <w:pPr>
        <w:spacing w:after="0" w:line="120" w:lineRule="auto"/>
      </w:pPr>
    </w:p>
    <w:p>
      <w:r>
        <w:t xml:space="preserve">Breakthrough Energy Ventures Fund II, LLC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Carmichael Roberts, Managing Partner</w:t>
      </w:r>
    </w:p>
    <w:p>
      <w:r>
        <w:t xml:space="preserve">Date: July __, 2025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